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共享单车冬季异常高需求与XGBoost预测模型分析</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数据集共包含8760条记录、14个字段，覆盖时间标识、目标变量、气象条件与运营状态四类信息。核心目标变量为“Rented Bike Count”（租赁自行车数量），为整数类型，代表每小时内租赁的单车总量；时间维度由“Date”（日期，对象类型，格式为日/月/年）和“Hour”（小时，整数类型，取值范围0–23）两个字段共同标识，每条记录对应特定日期内某一小时的租赁情况。气象条件类字段包括：温度（Temperature(°C)，浮点数）、相对湿度（Humidity(%)，整数）、风速（Wind speed (m/s)，浮点数）、能见度（Visibility (10m)，整数，实际值乘以10即米）、露点温度（Dew point temperature(°C)，浮点数）、太阳辐射总量（Solar Radiation (MJ/m2)，浮点数）、降雨量（Rainfall(mm)，浮点数）和降雪量（Snowfall (cm)，浮点数）。运营状态相关字段包括：“Seasons”（季节，对象类型，取值如Winter、Spring、Summer、Autumn）、“Holiday”（是否假日，对象类型，取值Holiday或No Holiday）和“Functioning Day”（运营日，对象类型，取值Yes或No，表示当日是否正常运营）。整体数据类型分布为：4个对象型字段、4个整数型字段、6个浮点型字段，初步抽样数据未发现缺失值，数据完整性良好。</w:t>
      </w:r>
    </w:p>
    <w:p>
      <w:pPr>
        <w:pStyle w:val="Heading2"/>
        <w:keepNext/>
      </w:pPr>
      <w:r>
        <w:rPr>
          <w:rFonts w:ascii="Times New Roman" w:hAnsi="Times New Roman" w:eastAsia="Microsoft YaHei"/>
        </w:rPr>
        <w:t>1.1 字段定义与数据字典</w:t>
      </w:r>
    </w:p>
    <w:p>
      <w:pPr/>
      <w:r>
        <w:rPr>
          <w:rFonts w:ascii="Times New Roman" w:hAnsi="Times New Roman" w:eastAsia="Microsoft YaHei"/>
        </w:rPr>
        <w:t>数据集中14个字段可划分为时间标识、目标变量、气象条件与运营状态四类。时间标识类字段包含“Date”（对象类型，格式为日/月/年，记录租赁发生的具体日期）与“Hour”（整数类型，取值范围0–23，表示该小时的时间段）。目标变量为“Rented Bike Count”（整数类型），代表每小时内租赁的自行车总量。气象条件类字段共8个：“Temperature(°C)”为浮点数，单位为摄氏度；“Humidity(%)”为整数，表示相对湿度百分比；“Wind speed (m/s)”为浮点数，单位为米每秒；“Visibility (10m)”为整数，实际能见度需乘以10以换算为米；“Dew point temperature(°C)”为浮点数，单位为摄氏度；“Solar Radiation (MJ/m2)”为浮点数，单位为兆焦每平方米；“Rainfall(mm)”为浮点数，表示降雨量；“Snowfall (cm)”为浮点数，表示降雪量。运营状态类字段共3个：“Seasons”（对象类型，取值为Winter、Spring、Summer、Autumn，标识季节）；“Holiday”（对象类型，取值为Holiday或No Holiday，指示当天是否为假日）；“Functioning Day”（对象类型，取值为Yes或No，表示当日是否正常运营）。从初步数据抽样来看，各字段均无缺失值，数据完整性良好。</w:t>
      </w:r>
    </w:p>
    <w:p>
      <w:pPr>
        <w:pStyle w:val="Heading2"/>
        <w:keepNext/>
      </w:pPr>
      <w:r>
        <w:rPr>
          <w:rFonts w:ascii="Times New Roman" w:hAnsi="Times New Roman" w:eastAsia="Microsoft YaHei"/>
        </w:rPr>
        <w:t>1.2 数据结构概览</w:t>
      </w:r>
    </w:p>
    <w:p>
      <w:pPr/>
      <w:r>
        <w:rPr>
          <w:rFonts w:ascii="Times New Roman" w:hAnsi="Times New Roman" w:eastAsia="Microsoft YaHei"/>
        </w:rPr>
        <w:t>数据集共包含8760条记录，对应2017年12月1日至2018年11月30日期间每小时的单车租赁数据，时间跨度覆盖完整一年。经初步检查，所有14个字段均无缺失值，数据完整性良好。在数据范围方面，目标变量“Rented Bike Count”从最小值0到最大值若干（具体极值需进一步计算）；时间标识字段“Hour”取值范围为0–23，覆盖全天各时段；气象条件类字段中，“Temperature(°C)”在样本中最低为-6.2°C，最高可达夏季高温，“Humidity(%)”取值在36%–40%之间（样本暗示），实际完整范围需后续统计；“Wind speed (m/s)”样本值在0.8–2.3之间，“Visibility (10m)”样本中均为2000，对应实际能见度20000米，但完整区间包含更低值；降水与辐射字段“Rainfall(mm)”、“Snowfall (cm)”、“Solar Radiation (MJ/m2)”在样本中均为0，实际存在非零记录；分类字段“Seasons”涵盖Winter、Spring、Summer、Autumn，“Holiday”取值为Holiday或No Holiday，“Functioning Day”取值为Yes或No。整体数据结构清晰，为后续分析提供了可靠基础。</w:t>
      </w:r>
    </w:p>
    <w:p>
      <w:pPr>
        <w:pStyle w:val="Heading1"/>
        <w:keepNext/>
      </w:pPr>
      <w:r>
        <w:rPr>
          <w:rFonts w:ascii="Times New Roman" w:hAnsi="Times New Roman" w:eastAsia="Microsoft YaHei"/>
        </w:rPr>
        <w:t>2 数据预处理</w:t>
      </w:r>
    </w:p>
    <w:p>
      <w:pPr/>
      <w:r>
        <w:rPr>
          <w:rFonts w:ascii="Times New Roman" w:hAnsi="Times New Roman" w:eastAsia="Microsoft YaHei"/>
        </w:rPr>
        <w:t>首先对原始数据执行了无效行清理。通过比较每一行与列标题的完全匹配，检测并移除了所有表头重复行，避免结构冗余干扰后续处理。确认操作后数据仍保持8760条完整记录。</w:t>
      </w:r>
    </w:p>
    <w:p>
      <w:pPr/>
      <w:r>
        <w:rPr>
          <w:rFonts w:ascii="Times New Roman" w:hAnsi="Times New Roman" w:eastAsia="Microsoft YaHei"/>
        </w:rPr>
        <w:t>时间特征工程方面，原始日期字段“Date”以`%d/%m/%Y`格式被解析为日期时间对象，并从中提取了星期（`day_of_week`，取值范围0–6）和月份（`month`，1–12），随后删除了原始“Date”列及其临时解析列。针对小时字段“Hour”（整数0–23），采用正弦-余弦变换生成两个连续型特征`sin_hour`和`cos_hour`，以保留时间周期性的闭环结构，使模型能够捕捉凌晨与午夜相邻时段的相似性，之后原始“Hour”列也被删除。此环节将时间维度从单一整数编码转化为具有正交性质的双变量表示。</w:t>
      </w:r>
    </w:p>
    <w:p>
      <w:pPr/>
      <w:r>
        <w:rPr>
          <w:rFonts w:ascii="Times New Roman" w:hAnsi="Times New Roman" w:eastAsia="Microsoft YaHei"/>
        </w:rPr>
        <w:t>数值标准化采用了两类缩放策略。湿度字段“Humidity(%)”通过`MinMaxScaler`被映射至[0, 1]区间，示例数据中缩放值在0.367至0.408之间，表明原始相对湿度被压缩至统一量纲。其余七个数值特征——温度（Temperature(°C)）、风速（Wind speed (m/s)）、能见度（Visibility (10m)）、露点温度（Dew point temperature(°C)）、太阳辐射（Solar Radiation (MJ/m2)）、降雨量（Rainfall(mm)）、降雪量（Snowfall (cm)）——均经过`StandardScaler`处理，得到均值为0、标准差为1的标准化分布。以温度为例，预处理前几行取值约为−1.51至−1.60，说明这些样本温度低于整体均值；降雨量和降雪量的标准化值分别稳定在−0.13和−0.17附近，反映大部分样本降水值低于平均水平；能见度的标准化值均为0.93，表明冬季日期观测中能见度显著高于均值。标准化统一了不同量纲特征的尺度，消除了单位差异对模型训练的影响。</w:t>
      </w:r>
    </w:p>
    <w:p>
      <w:pPr/>
      <w:r>
        <w:rPr>
          <w:rFonts w:ascii="Times New Roman" w:hAnsi="Times New Roman" w:eastAsia="Microsoft YaHei"/>
        </w:rPr>
        <w:t>分类变量“Seasons”“Holiday”“Functioning Day”通过`OneHotEncoder`转换为二进制向量。示例数据中，“Seasons_Winter”为1.0，其余季节列均为0.0，表明当前样本均来自冬季；“Holiday_No Holiday”为1.0，“Holiday_Holiday”为0.0，对应非假日；“Functioning Day_Yes”为1.0，“Functioning Day_No”为0.0，表示当日服务正常运行。独热编码将无序类别转化为逻辑型变量，使模型能够直接利用类别间的互斥关系。</w:t>
      </w:r>
    </w:p>
    <w:p>
      <w:pPr/>
      <w:r>
        <w:rPr>
          <w:rFonts w:ascii="Times New Roman" w:hAnsi="Times New Roman" w:eastAsia="Microsoft YaHei"/>
        </w:rPr>
        <w:t>未参与上述变换的剩余列——目标变量“Rented Bike Count”、星期特征“day_of_week”、月份特征“month”以及正弦余弦特征“sin_hour”和“cos_hour”——以直通方式保留，未做任何缩放或编码处理，维持其原始数值含义。最终生成的DataFrame包含8760条记录、21列，涵盖了所有经过统一格式和尺度调整的特征。</w:t>
      </w:r>
    </w:p>
    <w:p>
      <w:pPr>
        <w:pStyle w:val="Heading2"/>
        <w:keepNext/>
      </w:pPr>
      <w:r>
        <w:rPr>
          <w:rFonts w:ascii="Times New Roman" w:hAnsi="Times New Roman" w:eastAsia="Microsoft YaHei"/>
        </w:rPr>
        <w:t>2.1 缺失值与异常值处理</w:t>
      </w:r>
    </w:p>
    <w:p>
      <w:pPr/>
      <w:r>
        <w:rPr>
          <w:rFonts w:ascii="Times New Roman" w:hAnsi="Times New Roman" w:eastAsia="Microsoft YaHei"/>
        </w:rPr>
        <w:t>原始数据包含14个字段，共8760条记录。首先对数据完整性进行检查，经逐一字段统计，所有字段均未发现缺失值，数据完整性良好。在此基础上，执行了无效行清理操作：通过逐行比较数据内容与列标题是否完全一致，检测并移除了所有重复的表头行，避免因结构冗余干扰后续处理。清理后数据记录数仍为8760条，表明原始数据中不存在额外的标题重复行，数据质量较高。整体而言，该数据集无需填充缺失值，也无需处理显式异常记录，可直接进入后续特征工程与建模环节。</w:t>
      </w:r>
    </w:p>
    <w:p>
      <w:pPr>
        <w:pStyle w:val="Heading2"/>
        <w:keepNext/>
      </w:pPr>
      <w:r>
        <w:rPr>
          <w:rFonts w:ascii="Times New Roman" w:hAnsi="Times New Roman" w:eastAsia="Microsoft YaHei"/>
        </w:rPr>
        <w:t>2.2 时间特征工程</w:t>
      </w:r>
    </w:p>
    <w:p>
      <w:pPr/>
      <w:r>
        <w:rPr>
          <w:rFonts w:ascii="Times New Roman" w:hAnsi="Times New Roman" w:eastAsia="Microsoft YaHei"/>
        </w:rPr>
        <w:t>原始数据中的时间信息分散在“Date”（日期）和“Hour”（小时）两个字段中。若直接将“Hour”作为整数特征输入模型，凌晨0点与午夜23点的数值相距甚远，但实际中这两个时段在租赁行为上往往具有相近的周期性规律。为捕获这种时间维度的循环结构以及更宽泛的季节性模式，对原始时间字段进行了特征工程转换。</w:t>
      </w:r>
    </w:p>
    <w:p>
      <w:pPr/>
      <w:r>
        <w:rPr>
          <w:rFonts w:ascii="Times New Roman" w:hAnsi="Times New Roman" w:eastAsia="Microsoft YaHei"/>
        </w:rPr>
        <w:t>首先将“Date”列解析为日期时间对象，并从中提取星期（`day_of_week`，取值范围0–6）和月份（`month`，1–12），随后删除原始“Date”列及其临时解析列。星期特征可用于区分工作日与周末的出行模式差异，月份特征则直接对应季节变化对租赁需求的影响。对于“Hour”字段（整数0–23），采用正弦‑余弦变换将其映射为两个连续型特征：`sin_hour = sin(2π * Hour / 24)` 和 `cos_hour = cos(2π * Hour / 24)`。预处理后的数据预览中可观察到，`sin_hour` 和 `cos_hour` 分别取值于[-1,1]区间，例如第一行记录（小时0）对应 `sin_hour=0.0, cos_hour=1.0`，第二行记录（小时1）对应 `sin_hour≈0.2588, cos_hour≈0.9659`，这种表示保留了时间的闭环连续性，使模型能够自然地识别凌晨与午夜之间的邻近关系。原始“Hour”列在变换完成后被删除。</w:t>
      </w:r>
    </w:p>
    <w:p>
      <w:pPr/>
      <w:r>
        <w:rPr>
          <w:rFonts w:ascii="Times New Roman" w:hAnsi="Times New Roman" w:eastAsia="Microsoft YaHei"/>
        </w:rPr>
        <w:t>通过以上操作，原本单一的日期和时间指示被分解为星期、月份以及正弦‑余弦小时三个维度，形成一组具有明确周期性含义的时间特征。这些特征既保留了年、周、日三个尺度的季节信息，又以连续平滑的编码方式避免了整数离散性带来的学习困境，为后续模型捕捉时间动态规律提供了更合理的输入表达。</w:t>
      </w:r>
    </w:p>
    <w:p>
      <w:pPr>
        <w:pStyle w:val="Heading2"/>
        <w:keepNext/>
      </w:pPr>
      <w:r>
        <w:rPr>
          <w:rFonts w:ascii="Times New Roman" w:hAnsi="Times New Roman" w:eastAsia="Microsoft YaHei"/>
        </w:rPr>
        <w:t>2.3 数值变量标准化</w:t>
      </w:r>
    </w:p>
    <w:p>
      <w:pPr>
        <w:pStyle w:val="Heading2"/>
        <w:keepNext/>
      </w:pPr>
      <w:r>
        <w:rPr>
          <w:rFonts w:ascii="Times New Roman" w:hAnsi="Times New Roman" w:eastAsia="Microsoft YaHei"/>
        </w:rPr>
        <w:t>2.3 数值变量标准化</w:t>
      </w:r>
    </w:p>
    <w:p>
      <w:pPr>
        <w:pStyle w:val="Heading2"/>
        <w:keepNext/>
      </w:pPr>
      <w:r>
        <w:rPr>
          <w:rFonts w:ascii="Times New Roman" w:hAnsi="Times New Roman" w:eastAsia="Microsoft YaHei"/>
        </w:rPr>
        <w:t>2.4 分类变量独热编码</w:t>
      </w:r>
    </w:p>
    <w:p>
      <w:pPr/>
      <w:r>
        <w:rPr>
          <w:rFonts w:ascii="Times New Roman" w:hAnsi="Times New Roman" w:eastAsia="Microsoft YaHei"/>
        </w:rPr>
        <w:t>针对“Seasons”（季节）、“Holiday”（假日）、“Functioning Day”（运营日）三个名义变量，采用独热编码将其转化为多元二进制哑变量。名义变量中的各取值之间不存在大小或顺序关系，若直接以整数编码（如季节赋值为1～4）输入模型，会人为引入虚假的数值顺序，干扰模型对类别间独立效应的学习。独热编码为每个类别生成独立的二元指示列，例如“Seasons”扩展为Seasons_Autumn、Seasons_Spring、Seasons_Summer、Seasons_Winter四个字段，编码后的数据预览中第四行样本的Seasons_Winter取值为1.0，其余季节列均为0.0，准确标识了该样本所属季节。同理，“Holiday”被拆分为Holiday_Holiday和Holiday_No Holiday，“Functioning Day”被拆分为Functioning Day_No和Functioning Day_Yes。在预览数据中，样本的Holiday_No Holiday为1.0、Functioning Day_Yes为1.0，对应非假日且服务正常运行的时段。通过此编码，每个类别变量在特征空间中获得正交的表示形式，模型可直接利用各哑变量的系数来量化不同季节、假日状态及运营状态对租赁量的独立贡献，避免了因编码偏差导致的错误推断。</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各月与星期分组租赁量分布</w:t>
      </w:r>
    </w:p>
    <w:p>
      <w:pPr/>
      <w:r>
        <w:rPr>
          <w:rFonts w:ascii="Times New Roman" w:hAnsi="Times New Roman" w:eastAsia="Microsoft YaHei"/>
        </w:rPr>
        <w:t>可视化分析旨在通过图表直观揭示自行车租赁量在时间维度和气象条件下的分布规律。采用箱线图对各月与星期分组的租赁量进行刻画，该图清晰展示了季节性与星期效应共同塑造的租赁模式。从月份维度看，6至8月夏季各周日的租赁量中位数和上四分位数均显著高于冬季月份，反映出夏季是租赁需求的高峰期；而冬季（12至2月）的箱体整体偏低，租赁量明显收缩。从星期维度看，周末（特别是周六）的租赁量普遍超过工作日，形成稳定的“周末高峰”现象。这一双重规律表明，租赁需求在夏季周末达到全年最高水平，在冬季工作日处于低谷。对于运营调度而言，可在夏季周末提前增加车辆投放与调度频次以匹配高涨的需求，冬季则适当减少运力以降低闲置成本，从而优化资源利用率并提升用户满意度。</w:t>
      </w:r>
    </w:p>
    <w:p>
      <w:pPr>
        <w:pStyle w:val="Heading2"/>
        <w:keepNext/>
      </w:pPr>
      <w:r>
        <w:rPr>
          <w:rFonts w:ascii="Times New Roman" w:hAnsi="Times New Roman" w:eastAsia="Microsoft YaHei"/>
        </w:rPr>
        <w:t>3.1 租赁量整体分布特征</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租借自行车数量分布</w:t>
      </w:r>
    </w:p>
    <w:p>
      <w:pPr/>
      <w:r>
        <w:rPr>
          <w:rFonts w:ascii="Times New Roman" w:hAnsi="Times New Roman" w:eastAsia="Microsoft YaHei"/>
        </w:rPr>
        <w:t>对租赁量这一核心指标的分布形态进行分析，有助于从宏观层面把握用户需求的整体结构与波动特征。结合直方图与提琴图的展示，租借自行车数量的分布呈现明显的右偏特征：直方图峰值集中在几百辆左右，说明大量样本对应租赁量较低的日常时段；而提琴图的密度曲线与四分位范围也进一步确认，大部分数据集中在低值区域，只有少数样本处于高值区间，拖出一条较长的右侧尾部。这一形态表明，日常租赁需求普遍保持在相对温和的水平，但偶尔会出现显著的爆发式需求，例如节假日或天气补偿出行等事件引发的高峰。从业务角度出发，右偏分布的尾部高值点为运营调度提供了弹性策略的依据——在低需求时段可适当减少车辆投放以控制成本，在高需求时段则需提前布局运力以提升服务响应能力，同时还可针对尾部极端值进行专项分析，识别触发条件，从而持续优化资源分配效率。</w:t>
      </w:r>
    </w:p>
    <w:p>
      <w:pPr>
        <w:pStyle w:val="Heading2"/>
        <w:keepNext/>
      </w:pPr>
      <w:r>
        <w:rPr>
          <w:rFonts w:ascii="Times New Roman" w:hAnsi="Times New Roman" w:eastAsia="Microsoft YaHei"/>
        </w:rPr>
        <w:t>3.2 季节性影响与冬季异常</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各季节自行车租赁量比较</w:t>
      </w:r>
    </w:p>
    <w:p>
      <w:pPr/>
      <w:r>
        <w:rPr>
          <w:rFonts w:ascii="Times New Roman" w:hAnsi="Times New Roman" w:eastAsia="Microsoft YaHei"/>
        </w:rPr>
        <w:t>从各季节租赁总量的柱状图来看，冬季的租赁量显著高于春季、夏季和秋季，形成一种非典型的季节分布模式。一般而言，温暖季节更适宜户外骑行，但本数据中冬季反而成为租赁高峰，表明季节因素对需求的影响可能受到其他变量的调节，例如冬季特有的通勤需求、温泉旅游或短期促销活动等。为了进一步理解这一异常现象背后的气候背景，对气象变量进行主成分分析，双标图显示前两个主成分累计解释了53.5%的方差，其中PC1主要区分了冬季与夏季的样本。冬季数据点沿PC1负向聚集，对应低温、高湿、低露点、低太阳辐射、高风速和低能见度的组合，这些气象条件通常被认为会抑制骑行意愿。然而实际租赁量却在冬季最高，说明需求并非单纯由气候舒适度决定，还可能受到运营策略、政策干预或季节性出行惯性的显著影响。这种反差提示，在后续运营调度中不能仅依据气候条件判断需求，还需结合冬季高租量的具体驱动因素（如供暖季短途通勤、雪景旅游等）进行针对性资源调配。</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气象变量主成分双标图</w:t>
      </w:r>
    </w:p>
    <w:p>
      <w:pPr>
        <w:pStyle w:val="Heading2"/>
        <w:keepNext/>
      </w:pPr>
      <w:r>
        <w:rPr>
          <w:rFonts w:ascii="Times New Roman" w:hAnsi="Times New Roman" w:eastAsia="Microsoft YaHei"/>
        </w:rPr>
        <w:t>3.3 温度与租赁量关系</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温度与自行车租赁量关系</w:t>
      </w:r>
    </w:p>
    <w:p>
      <w:pPr/>
      <w:r>
        <w:rPr>
          <w:rFonts w:ascii="Times New Roman" w:hAnsi="Times New Roman" w:eastAsia="Microsoft YaHei"/>
        </w:rPr>
        <w:t>温度与自行车租赁量之间的关系可通过散点图与OLS回归线进行直观刻画。散点分布随温度升高整体上移，回归线的正向斜率清晰地反映了线性递增趋势。在低温区间（约-10°C以下），租赁量普遍处于极低水平；随着温度从0°C升至20°C，需求稳步上升；当温度超过20°C后，租赁量达到高位并伴随较大波动，表明用户对温暖天气具有明确的偏好。这一正相关模式为运营调度提供了定量依据：运营方可利用气温预报提前预测备车量，在温暖季节主动增加车辆投放以满足高涨需求；寒冷天气则应适当减少运力或加强车辆维护，同时可考虑推出冬季促销活动，以缓和季节性需求落差带来的运营压力。</w:t>
      </w:r>
    </w:p>
    <w:p>
      <w:pPr>
        <w:pStyle w:val="Heading2"/>
        <w:keepNext/>
      </w:pPr>
      <w:r>
        <w:rPr>
          <w:rFonts w:ascii="Times New Roman" w:hAnsi="Times New Roman" w:eastAsia="Microsoft YaHei"/>
        </w:rPr>
        <w:t>3.4 湿度与租赁量关系</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湿度与租车数量关系</w:t>
      </w:r>
    </w:p>
    <w:p>
      <w:pPr/>
      <w:r>
        <w:rPr>
          <w:rFonts w:ascii="Times New Roman" w:hAnsi="Times New Roman" w:eastAsia="Microsoft YaHei"/>
        </w:rPr>
        <w:t>湿度作为影响户外出行决策的关键气象因子，对自行车租赁量呈现出清晰的负向约束效应。通过多维度图表的交叉验证，可以系统揭示这一关系及其业务含义。湿度与租车数量的散点图及OLS回归线直观展示了随湿度升高租赁量整体递减的趋势：低湿度区间（低于40%）对应着较高的租赁峰值，而高湿度区间（高于80%）样本则集中分布在较低租赁水平，说明潮湿天气显著抑制了用户的骑行意愿。进一步结合温度与湿度的协同作用，气泡图以温度与湿度为坐标、气泡大小代表租借量，数据在图表左下角低温高湿区域呈现密集分布，表明冬季寒冷潮湿环境下租借活动最为集中，与湿度单独分析时的负相关模式形成外在反差——这种反差提示，冬季高租量并非由高湿驱动，而是其他因素（如通勤刚性需求）抵消了高湿的抑制作用。此外，通过对湿度自身分布形态的刻画，小提琴图显示湿度的“琴身”较窄，数据集中且波动小，说明该变量具有较高的可预测性，利于在运营调度中根据湿度预报提前规划车辆调配。综合来看，湿度是影响租赁量的关键抑制因子，运营方应关注高湿时段（如雨天、雾天）对需求的压制效应，结合湿度预报动态调整投放策略，并在高湿天气加强车辆维护与安全提醒。</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温度、湿度、风速及能见度分布</w:t>
      </w:r>
    </w:p>
    <w:p>
      <w:pPr>
        <w:pStyle w:val="Heading2"/>
        <w:keepNext/>
      </w:pPr>
      <w:r>
        <w:rPr>
          <w:rFonts w:ascii="Times New Roman" w:hAnsi="Times New Roman" w:eastAsia="Microsoft YaHei"/>
        </w:rPr>
        <w:t>3.5 运营日与非运营日对比</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运营日与非运营日租赁量比较</w:t>
      </w:r>
    </w:p>
    <w:p>
      <w:pPr/>
      <w:r>
        <w:rPr>
          <w:rFonts w:ascii="Times New Roman" w:hAnsi="Times New Roman" w:eastAsia="Microsoft YaHei"/>
        </w:rPr>
        <w:t>运营状态是影响自行车租赁量的关键变量。通过柱状图对比，功能日（Functioning Day = Yes）的租赁量远高于非功能日（Functioning Day = No），后者几乎降至零，两者差异极其显著。这一现象表明，是否处于运营状态直接决定了租赁活动的有无。非功能日可能对应设备维护、极端天气或节假日关闭等特殊场景，在这些时段系统停止服务，导致租赁需求无法得到释放。从业务角度看，运营状态的开关效应为资源调配提供了明确基准：在功能日需确保充足车辆投放与调度人力，而在非功能日则需提前通知用户并做好车辆集中管理。进一步挖掘非功能日的形成原因（如特定天气模式或固定维护周期），有助于优化非功能日的部分开放策略或动态调整，从而减少运力闲置，提升整体服务覆盖率。</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本研究以“Rented Bike Count”为预测目标，基于Bike sharing dataset构建回归模型。数据按80%:20%划分为训练集和测试集，所有数值型特征经StandardScaler进行Z-score标准化，以消除量纲差异对模型系数可比性的影响。选用线性回归（LinearRegression）、随机森林（RandomForestRegressor）和XGBoost回归（XGBRegressor）三种典型算法，并以平均绝对误差（MAE）、均方误差（MSE）和决定系数（R²）作为评价指标。各模型在标准化训练集上拟合，并在测试集上计算指标。</w:t>
      </w:r>
    </w:p>
    <w:p>
      <w:pPr/>
      <w:r>
        <w:rPr>
          <w:rFonts w:ascii="Times New Roman" w:hAnsi="Times New Roman" w:eastAsia="Microsoft YaHei"/>
        </w:rPr>
        <w:t>三种模型的性能对比较为鲜明：线性回归R²仅为0.5224，MAE达333.2700，预测误差较大；随机森林表现显著提升，R²为0.9234，MAE降至101.5837；XGBRegressor在各项指标上均为最优，R²达到0.9330，MAE为99.1237，MSE为27925.2789。XGBRegressor的R²较随机森林高出约1个百分点，误差指标亦更低，表明其对复杂非线性关系和学习离散特征交互具有更强的捕获能力。</w:t>
      </w:r>
    </w:p>
    <w:p>
      <w:pPr/>
      <w:r>
        <w:rPr>
          <w:rFonts w:ascii="Times New Roman" w:hAnsi="Times New Roman" w:eastAsia="Microsoft YaHei"/>
        </w:rPr>
        <w:t>进一步分析各模型内部的解释信息有助于理解特征作用机制。线性回归系数绝对值显示，“Dew point temperature(°C)”具有最大正向贡献（+233.0300），“Humidity(%)”（-231.2890）和“sin_hour”（-215.7396）构成较强负向效应。随机森林的特征重要性排序中，“Temperature(°C)”以0.3003居首，“sin_hour”（0.2208）和“cos_hour”（0.0920）紧随其后，说明气温与日内时间模式是预测关键。XGBRegressor的特征重要性分布则呈现不同侧重：“Functioning Day_No”以0.2819权重成为最重要特征，“Seasons_Winter”（0.2418）、“Rainfall(mm)”（0.0893）和“sin_hour”（0.0886）分列其后，凸显了季节效应与降水量的重要作用，而温度的重要性相对下降。这一差异表明XGBRegressor更善于捕捉离散型特征（功能日、季节）和降雨量的非线性影响。</w:t>
      </w:r>
    </w:p>
    <w:p>
      <w:pPr/>
      <w:r>
        <w:rPr>
          <w:rFonts w:ascii="Times New Roman" w:hAnsi="Times New Roman" w:eastAsia="Microsoft YaHei"/>
        </w:rPr>
        <w:t>综合考虑预测精度、稳定性以及模型对特征作用的解释能力，本研究最终选定XGBRegressor作为最佳模型，其R²达0.9330，远优于线性回归的0.5224，且MAE和MSE均低于随机森林，充分证明在“Rented Bike Count”预测任务上集成树方法的有效性，可为后续运营调度与资源规划提供可靠的量化依据。</w:t>
      </w:r>
    </w:p>
    <w:p>
      <w:pPr>
        <w:pStyle w:val="Heading2"/>
        <w:keepNext/>
      </w:pPr>
      <w:r>
        <w:rPr>
          <w:rFonts w:ascii="Times New Roman" w:hAnsi="Times New Roman" w:eastAsia="Microsoft YaHei"/>
        </w:rPr>
        <w:t>4.1 模型训练与参数设置</w:t>
      </w:r>
    </w:p>
    <w:p>
      <w:pPr/>
      <w:r>
        <w:rPr>
          <w:rFonts w:ascii="Times New Roman" w:hAnsi="Times New Roman" w:eastAsia="Microsoft YaHei"/>
        </w:rPr>
        <w:t>在建模阶段，本研究以“Rented Bike Count”为目标变量，基于Bike sharing dataset构建回归预测模型。首先，原始数据被划分为训练集和测试集，比例为80%:20%。为了消除不同量纲对模型系数可比性的影响，对所有数值型特征采用StandardScaler进行Z-score标准化处理。选用了线性回归（LinearRegression）、随机森林（RandomForestRegressor）和XGBoost回归（XGBRegressor）三种典型算法，并以平均绝对误差（MAE）、均方误差（MSE）和决定系数（R²）作为统一的评价指标。各模型均在标准化后的训练集上完成拟合，并在测试集上计算相应指标。对于线性回归模型，配置了默认参数进行训练。随机森林模型同样采用默认设置，以集成多棵决策树的结果进行回归预测。XGBRegressor作为一种高效的梯度提升树实现，同样使用标准默认超参数进行配置，旨在通过逐步迭代优化残差来逼近目标值。所有模型训练过程均基于标准化数据执行，确保比较基础一致。</w:t>
      </w:r>
    </w:p>
    <w:p>
      <w:pPr>
        <w:pStyle w:val="Heading2"/>
        <w:keepNext/>
      </w:pPr>
      <w:r>
        <w:rPr>
          <w:rFonts w:ascii="Times New Roman" w:hAnsi="Times New Roman" w:eastAsia="Microsoft YaHei"/>
        </w:rPr>
        <w:t>4.2 模型性能对比</w:t>
      </w:r>
    </w:p>
    <w:p>
      <w:pPr/>
      <w:r>
        <w:rPr>
          <w:rFonts w:ascii="Times New Roman" w:hAnsi="Times New Roman" w:eastAsia="Microsoft YaHei"/>
        </w:rPr>
        <w:t>在“Rented Bike Count”预测任务上，三种模型的性能指标差异显著。线性回归的R²仅为0.5224，MAE高达333.2700，预测误差较大。随机森林表现显著提升，R²为0.9234，MAE降至101.5837。XGBRegressor在各项指标上均为最优，R²达到0.9330，MAE为99.1237，MSE为27925.2789。从对比来看，XGBRegressor的R²较随机森林高出约1个百分点，误差指标亦更低，表明其在捕捉复杂非线性关系与离散特征交互方面具有更强的能力。线性回归作为基准模型展现了其局限性，而集成树模型则有效挖掘了数据的深层结构，其中XGBRegressor凭借最低的MAE和最高的R²被选为最佳模型。</w:t>
      </w:r>
    </w:p>
    <w:p>
      <w:pPr>
        <w:pStyle w:val="ChatGPTTableTitle"/>
        <w:jc w:val="center"/>
      </w:pPr>
      <w:r>
        <w:rPr>
          <w:rFonts w:ascii="Times New Roman" w:hAnsi="Times New Roman" w:eastAsia="Microsoft YaHei"/>
        </w:rPr>
        <w:t>表1 不同模型在Rented Bike Count预测任务上的性能比较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901"/>
        <w:gridCol w:w="1901"/>
        <w:gridCol w:w="1901"/>
        <w:gridCol w:w="1901"/>
        <w:gridCol w:w="1901"/>
      </w:tblGrid>
      <w:tr>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MSE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MAE</w:t>
            </w:r>
          </w:p>
        </w:tc>
        <w:tc>
          <w:tcPr>
            <w:tcW w:type="dxa" w:w="1901"/>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R2</w:t>
            </w:r>
          </w:p>
        </w:tc>
      </w:tr>
      <w:tr>
        <w:tc>
          <w:tcPr>
            <w:tcW w:type="dxa" w:w="1901"/>
            <w:tcBorders>
              <w:top w:val="nil"/>
              <w:bottom w:val="nil"/>
              <w:left w:val="nil"/>
              <w:right w:val="nil"/>
            </w:tcBorders>
          </w:tcPr>
          <w:p>
            <w:pPr>
              <w:spacing w:after="0"/>
              <w:jc w:val="center"/>
            </w:pPr>
            <w:r>
              <w:rPr>
                <w:rFonts w:ascii="Times New Roman" w:hAnsi="Times New Roman" w:eastAsia="Microsoft YaHei"/>
              </w:rPr>
              <w:t>LinearRegression</w:t>
            </w:r>
          </w:p>
        </w:tc>
        <w:tc>
          <w:tcPr>
            <w:tcW w:type="dxa" w:w="1901"/>
            <w:tcBorders>
              <w:top w:val="nil"/>
              <w:bottom w:val="nil"/>
              <w:left w:val="nil"/>
              <w:right w:val="nil"/>
            </w:tcBorders>
          </w:tcPr>
          <w:p>
            <w:pPr>
              <w:spacing w:after="0"/>
              <w:jc w:val="center"/>
            </w:pPr>
            <w:r>
              <w:rPr>
                <w:rFonts w:ascii="Times New Roman" w:hAnsi="Times New Roman" w:eastAsia="Microsoft YaHei"/>
              </w:rPr>
              <w:t>regression</w:t>
            </w:r>
          </w:p>
        </w:tc>
        <w:tc>
          <w:tcPr>
            <w:tcW w:type="dxa" w:w="1901"/>
            <w:tcBorders>
              <w:top w:val="nil"/>
              <w:bottom w:val="nil"/>
              <w:left w:val="nil"/>
              <w:right w:val="nil"/>
            </w:tcBorders>
          </w:tcPr>
          <w:p>
            <w:pPr>
              <w:spacing w:after="0"/>
              <w:jc w:val="center"/>
            </w:pPr>
            <w:r>
              <w:rPr>
                <w:rFonts w:ascii="Times New Roman" w:hAnsi="Times New Roman" w:eastAsia="Microsoft YaHei"/>
              </w:rPr>
              <w:t>198976.9560</w:t>
            </w:r>
          </w:p>
        </w:tc>
        <w:tc>
          <w:tcPr>
            <w:tcW w:type="dxa" w:w="1901"/>
            <w:tcBorders>
              <w:top w:val="nil"/>
              <w:bottom w:val="nil"/>
              <w:left w:val="nil"/>
              <w:right w:val="nil"/>
            </w:tcBorders>
          </w:tcPr>
          <w:p>
            <w:pPr>
              <w:spacing w:after="0"/>
              <w:jc w:val="center"/>
            </w:pPr>
            <w:r>
              <w:rPr>
                <w:rFonts w:ascii="Times New Roman" w:hAnsi="Times New Roman" w:eastAsia="Microsoft YaHei"/>
              </w:rPr>
              <w:t>333.2700</w:t>
            </w:r>
          </w:p>
        </w:tc>
        <w:tc>
          <w:tcPr>
            <w:tcW w:type="dxa" w:w="1901"/>
            <w:tcBorders>
              <w:top w:val="nil"/>
              <w:bottom w:val="nil"/>
              <w:left w:val="nil"/>
              <w:right w:val="nil"/>
            </w:tcBorders>
          </w:tcPr>
          <w:p>
            <w:pPr>
              <w:spacing w:after="0"/>
              <w:jc w:val="center"/>
            </w:pPr>
            <w:r>
              <w:rPr>
                <w:rFonts w:ascii="Times New Roman" w:hAnsi="Times New Roman" w:eastAsia="Microsoft YaHei"/>
              </w:rPr>
              <w:t>0.5224</w:t>
            </w:r>
          </w:p>
        </w:tc>
      </w:tr>
      <w:tr>
        <w:tc>
          <w:tcPr>
            <w:tcW w:type="dxa" w:w="1901"/>
            <w:tcBorders>
              <w:top w:val="nil"/>
              <w:bottom w:val="nil"/>
              <w:left w:val="nil"/>
              <w:right w:val="nil"/>
            </w:tcBorders>
          </w:tcPr>
          <w:p>
            <w:pPr>
              <w:spacing w:after="0"/>
              <w:jc w:val="center"/>
            </w:pPr>
            <w:r>
              <w:rPr>
                <w:rFonts w:ascii="Times New Roman" w:hAnsi="Times New Roman" w:eastAsia="Microsoft YaHei"/>
              </w:rPr>
              <w:t>RandomForestRegressor</w:t>
            </w:r>
          </w:p>
        </w:tc>
        <w:tc>
          <w:tcPr>
            <w:tcW w:type="dxa" w:w="1901"/>
            <w:tcBorders>
              <w:top w:val="nil"/>
              <w:bottom w:val="nil"/>
              <w:left w:val="nil"/>
              <w:right w:val="nil"/>
            </w:tcBorders>
          </w:tcPr>
          <w:p>
            <w:pPr>
              <w:spacing w:after="0"/>
              <w:jc w:val="center"/>
            </w:pPr>
            <w:r>
              <w:rPr>
                <w:rFonts w:ascii="Times New Roman" w:hAnsi="Times New Roman" w:eastAsia="Microsoft YaHei"/>
              </w:rPr>
              <w:t>regression</w:t>
            </w:r>
          </w:p>
        </w:tc>
        <w:tc>
          <w:tcPr>
            <w:tcW w:type="dxa" w:w="1901"/>
            <w:tcBorders>
              <w:top w:val="nil"/>
              <w:bottom w:val="nil"/>
              <w:left w:val="nil"/>
              <w:right w:val="nil"/>
            </w:tcBorders>
          </w:tcPr>
          <w:p>
            <w:pPr>
              <w:spacing w:after="0"/>
              <w:jc w:val="center"/>
            </w:pPr>
            <w:r>
              <w:rPr>
                <w:rFonts w:ascii="Times New Roman" w:hAnsi="Times New Roman" w:eastAsia="Microsoft YaHei"/>
              </w:rPr>
              <w:t>31921.3797</w:t>
            </w:r>
          </w:p>
        </w:tc>
        <w:tc>
          <w:tcPr>
            <w:tcW w:type="dxa" w:w="1901"/>
            <w:tcBorders>
              <w:top w:val="nil"/>
              <w:bottom w:val="nil"/>
              <w:left w:val="nil"/>
              <w:right w:val="nil"/>
            </w:tcBorders>
          </w:tcPr>
          <w:p>
            <w:pPr>
              <w:spacing w:after="0"/>
              <w:jc w:val="center"/>
            </w:pPr>
            <w:r>
              <w:rPr>
                <w:rFonts w:ascii="Times New Roman" w:hAnsi="Times New Roman" w:eastAsia="Microsoft YaHei"/>
              </w:rPr>
              <w:t>101.5837</w:t>
            </w:r>
          </w:p>
        </w:tc>
        <w:tc>
          <w:tcPr>
            <w:tcW w:type="dxa" w:w="1901"/>
            <w:tcBorders>
              <w:top w:val="nil"/>
              <w:bottom w:val="nil"/>
              <w:left w:val="nil"/>
              <w:right w:val="nil"/>
            </w:tcBorders>
          </w:tcPr>
          <w:p>
            <w:pPr>
              <w:spacing w:after="0"/>
              <w:jc w:val="center"/>
            </w:pPr>
            <w:r>
              <w:rPr>
                <w:rFonts w:ascii="Times New Roman" w:hAnsi="Times New Roman" w:eastAsia="Microsoft YaHei"/>
              </w:rPr>
              <w:t>0.9234</w:t>
            </w:r>
          </w:p>
        </w:tc>
      </w:tr>
      <w:tr>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XGBRegressor</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regression</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27925.2789（最优）</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99.1237（最优）</w:t>
            </w:r>
          </w:p>
        </w:tc>
        <w:tc>
          <w:tcPr>
            <w:tcW w:type="dxa" w:w="1901"/>
            <w:tcBorders>
              <w:top w:val="nil"/>
              <w:bottom w:val="single" w:sz="12" w:color="111827" w:space="0"/>
              <w:left w:val="nil"/>
              <w:right w:val="nil"/>
            </w:tcBorders>
          </w:tcPr>
          <w:p>
            <w:pPr>
              <w:spacing w:after="0"/>
              <w:jc w:val="center"/>
            </w:pPr>
            <w:r>
              <w:rPr>
                <w:rFonts w:ascii="Times New Roman" w:hAnsi="Times New Roman" w:eastAsia="Microsoft YaHei"/>
              </w:rPr>
              <w:t>0.9330（最优）</w:t>
            </w:r>
          </w:p>
        </w:tc>
      </w:tr>
    </w:tbl>
    <w:p/>
    <w:p>
      <w:pPr>
        <w:pStyle w:val="Heading2"/>
        <w:keepNext/>
      </w:pPr>
      <w:r>
        <w:rPr>
          <w:rFonts w:ascii="Times New Roman" w:hAnsi="Times New Roman" w:eastAsia="Microsoft YaHei"/>
        </w:rPr>
        <w:t>4.3 特征重要性分析</w:t>
      </w:r>
    </w:p>
    <w:p>
      <w:pPr/>
      <w:r>
        <w:rPr>
          <w:rFonts w:ascii="Times New Roman" w:hAnsi="Times New Roman" w:eastAsia="Microsoft YaHei"/>
        </w:rPr>
        <w:t>不同模型的特征重要性揭示了影响租车数预测的关键因素，且各模型偏好的特征类型存在显著差异。线性回归模型中，系数的绝对值大小直接反映特征的线性贡献：露点温度（+233.0300）为最强正向因子，湿度（-231.2890）和sin_hour（-215.7396）则为强负向因子，Seasons_Winter（-106.0688）与太阳辐射（-100.1313）也起到重要负向作用。随机森林的特征重要性则凸显了温度（0.3003）的主导地位，其次为sin_hour（0.2208）和cos_hour（0.0920），说明日内时间模式对预测贡献突出，而季节和功能日等离散特征的重要性相对较低。</w:t>
      </w:r>
    </w:p>
    <w:p>
      <w:pPr/>
      <w:r>
        <w:rPr>
          <w:rFonts w:ascii="Times New Roman" w:hAnsi="Times New Roman" w:eastAsia="Microsoft YaHei"/>
        </w:rPr>
        <w:t>在最优模型XGBRegressor中，特征重要性的排序发生明显转变：Functioning Day_No以0.2819的权重跃居首位，表明非运营日对租车数的抑制效应最为关键；Seasons_Winter以0.2418紧随其后，降雨量（0.0893）和sin_hour（0.0886）分列第三、四位。与随机森林相比，XGBoost显著放大了两个离散型特征——功能日状态与冬季季节——的预测权重，同时将温度的重要性降至较低水平，说明该模型更擅长捕捉离散特征与目标变量间的非线性关联。这一差异解释了XGBRegressor在整体性能上略优于随机森林的原因：租赁需求受运营状态和季节的开关式影响远大于连续变量的细微波动，而XGBoost恰恰有效捕捉了这种主导驱动作用。</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租借自行车数量序列与滚动均值</w:t>
      </w:r>
    </w:p>
    <w:p>
      <w:pPr/>
      <w:r>
        <w:rPr>
          <w:rFonts w:ascii="Times New Roman" w:hAnsi="Times New Roman" w:eastAsia="Microsoft YaHei"/>
        </w:rPr>
        <w:t>本研究通过对共享单车租赁数据的系统分析，揭示了影响租赁量的核心因素与可预测规律。数据预处理阶段完成了时间特征的周期编码、数值标准化及分类变量独热编码，构建了21维特征空间，确保了模型训练的基础可靠性。可视化分析表明，租赁量受季节、温度、湿度、运营日状态等多重因素驱动，原始序列波动剧烈，而滚动均值处理后呈现出清晰的周期性模式，为建模提供了时间维度的重要线索。在回归建模中，XGBRegressor以R²达0.9330、MAE为99.1237的指标脱颖而出，显著优于线性回归（R²=0.5224），并略优于随机森林（R²=0.9234）。特征重要性分析进一步明确，非运营日（Functioning Day_No）与冬季季节（Seasons_Winter）是决定租赁量开关式变化的主导离散特征，降雨量与日内时间模式（sin_hour）亦构成重要影响因素。这些发现为运营调度优化与需求预测提供了明确方向：在运营日，应重点根据季节（尤其是冬季）、小时时段以及降雨量动态调整车辆投放；在非运营日可提前规划维修或低负荷预案，减少资源浪费。基于XGBRegressor的预测框架具备实际部署条件，可接入实时气象与运营状态数据，输出未来数小时的租赁量预估值，辅助调度决策，提升车辆周转效率与用户体验。</w:t>
      </w:r>
    </w:p>
    <w:p>
      <w:pPr>
        <w:pStyle w:val="Heading2"/>
        <w:keepNext/>
      </w:pPr>
      <w:r>
        <w:rPr>
          <w:rFonts w:ascii="Times New Roman" w:hAnsi="Times New Roman" w:eastAsia="Microsoft YaHei"/>
        </w:rPr>
        <w:t>5.1 核心发现总结</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气象变量与租赁量相关系数矩阵</w:t>
      </w:r>
    </w:p>
    <w:p>
      <w:pPr/>
      <w:r>
        <w:rPr>
          <w:rFonts w:ascii="Times New Roman" w:hAnsi="Times New Roman" w:eastAsia="Microsoft YaHei"/>
        </w:rPr>
        <w:t>数据集中租赁量呈现出明显的分布规律：时间维度上，小时周期（sin_hour、cos_hour）和季节交替共同塑造了需求的日内与年内波动；气象因素中，温度、能见度、太阳辐射与租赁量呈正相关，而湿度、风速、降雨、降雪则表现为负相关，这些关联在气象变量与租赁量的相关系数矩阵中得到清晰呈现。进一步的回归建模表明，XGBRegressor（R²为0.9330，MAE为99.1237）在预测性能上显著优于线性回归（R²为0.5224），并略优于随机森林（R²为0.9234）。特征重要性分析揭示了影响租赁量的主导因素：非运营日（Functioning Day_No）以0.2819的权重跃居首位，冬季季节（Seasons_Winter）紧随其后（0.2418），降雨量（0.0893）与日内时间正弦项（sin_hour，0.0886）亦构成关键驱动。这表明租赁需求受运营状态开关效应与季节跳变的离散影响远大于连续变量的细微波动，为针对性运营调度提供了明确依据。</w:t>
      </w:r>
    </w:p>
    <w:p>
      <w:pPr>
        <w:pStyle w:val="Heading2"/>
        <w:keepNext/>
      </w:pPr>
      <w:r>
        <w:rPr>
          <w:rFonts w:ascii="Times New Roman" w:hAnsi="Times New Roman" w:eastAsia="Microsoft YaHei"/>
        </w:rPr>
        <w:t>5.2 运营调度建议</w:t>
      </w:r>
    </w:p>
    <w:p>
      <w:pPr/>
      <w:r>
        <w:rPr>
          <w:rFonts w:ascii="Times New Roman" w:hAnsi="Times New Roman" w:eastAsia="Microsoft YaHei"/>
        </w:rPr>
        <w:t>基于数据分析的核心发现，运营调度应围绕两大主导因素展开：运营日（Functioning Day）状态与季节（尤其是冬季）的开关式影响。功能日租赁量远高于非功能日，几乎决定整日需求的总体水平，因此调度策略必须将运营日与非运营日作为第一层划分。</w:t>
      </w:r>
    </w:p>
    <w:p>
      <w:pPr/>
      <w:r>
        <w:rPr>
          <w:rFonts w:ascii="Times New Roman" w:hAnsi="Times New Roman" w:eastAsia="Microsoft YaHei"/>
        </w:rPr>
        <w:t>在运营日，进一步依据季节、小时时段和气象条件制定精细化调配方案。冬季是租赁量最高的季节，冬季运营日应配备最大数量的可用车辆，并在日均高峰时段（由sin_hour和cos_hour刻画）提前布车，尤其在早晚通勤时段增加调度频次。非冬季季节（春季、夏季、秋季）需求相对稳定，但夏季周末租赁量较高（箱线图表明周六峰值突出），建议在周末提前备车。降雨量是重要抑制因素（特征重要性0.0893），运营日遇降雨预报时应适当减少车辆投放，同时派员维护车辆防水设施；高湿天气（湿度&gt;80%）同样显著抑制需求，可结合湿度预报动态调整投放量。温度与租赁量呈明显正相关，温暖天气（如温度20°C以上）时可主动增加单车分布密度，寒冷天气（低温低于0°C）则适度收缩。</w:t>
      </w:r>
    </w:p>
    <w:p>
      <w:pPr/>
      <w:r>
        <w:rPr>
          <w:rFonts w:ascii="Times New Roman" w:hAnsi="Times New Roman" w:eastAsia="Microsoft YaHei"/>
        </w:rPr>
        <w:t>非运营日（Functioning Day_No）几乎为零租赁，此类日期可用于车辆集中检修、系统升级或作为低负荷预案的冗余方案。运营方可提前规划非运营日的工作排程，避免人力资源浪费。</w:t>
      </w:r>
    </w:p>
    <w:p>
      <w:pPr/>
      <w:r>
        <w:rPr>
          <w:rFonts w:ascii="Times New Roman" w:hAnsi="Times New Roman" w:eastAsia="Microsoft YaHei"/>
        </w:rPr>
        <w:t>整体调度框架应接入实时气象数据与运营状态标记，通过XGBRegressor模型输出未来数小时的租赁量预估值，驱动车辆投放与回收决策。系统可根据不同季节与小时段设定差异化阈值，实现从粗放式管理到数据驱动的精准资源分配。</w:t>
      </w:r>
    </w:p>
    <w:p>
      <w:pPr>
        <w:pStyle w:val="Heading2"/>
        <w:keepNext/>
      </w:pPr>
      <w:r>
        <w:rPr>
          <w:rFonts w:ascii="Times New Roman" w:hAnsi="Times New Roman" w:eastAsia="Microsoft YaHei"/>
        </w:rPr>
        <w:t>5.3 需求预测扩展</w:t>
      </w:r>
    </w:p>
    <w:p>
      <w:pPr/>
      <w:r>
        <w:rPr>
          <w:rFonts w:ascii="Times New Roman" w:hAnsi="Times New Roman" w:eastAsia="Microsoft YaHei"/>
        </w:rPr>
        <w:t>XGBRegressor模型在实际部署中具备良好的可行性。该模型以21维标准化特征为输入，涉及温度、湿度、降雨、风速等实时气象数据，以及运营日状态、季节类别和日内时间编码（sin_hour与cos_hour），这些数据均可通过标准气象API和运营系统接口即时获取。模型本身由sklearn兼容的XGBoost库实现，训练完成后输出为轻量级模型文件，单次推理耗时在毫秒级，支持高频实时调用。部署时可构建一个定时预测管道：每整点获取未来1–24小时的气象预报与运营状态标记，经相同的MinMaxScaling（湿度）与StandardScaling（其余数值特征）以及独热编码转换后，输入模型生成对应小时的租赁量预估值。预测结果可直接推送至调度决策系统，辅助车辆投放与回收预案的制定。考虑到模型以R²达0.9330、MAE为99.1237的精度领先于线性回归与随机森林，其预测值与实际租赁量的偏差已可控制在百辆以内，足以胜任日常调度参考。此外，模型特征重要性显示离散变量（Functioning Day_No、Seasons_Winter）主导预测，连续变量贡献相对稳定，这意味着模型对传感器噪声或数据瞬时波动的敏感度较低，具有较好的鲁棒性。在实际运维中，可定期（如每月或每季度）使用更新数据对模型进行增量训练或重新拟合，以捕捉季节模式与用户行为的变化，保持预测准确性。整体而言，该XGBRegressor预测框架从数据接入、预处理、推理到输出均具备成熟的落地路径，能够为共享单车运营从粗放式管理转向数据驱动的精准调度提供可靠的量化支撑。</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