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spacing w:after="240"/>
        <w:pBdr>
          <w:bottom w:val="single" w:sz="12" w:space="1" w:color="5B7DB1"/>
        </w:pBdr>
      </w:pPr>
      <w:r>
        <w:rPr>
          <w:rFonts w:ascii="Times New Roman" w:hAnsi="Times New Roman" w:eastAsia="Microsoft YaHei"/>
        </w:rPr>
        <w:t>GY产量预测中XGBoost模型表现最优</w:t>
      </w:r>
    </w:p>
    <w:p>
      <w:pPr>
        <w:pStyle w:val="Heading1"/>
        <w:keepNext/>
      </w:pPr>
      <w:r>
        <w:rPr>
          <w:rFonts w:ascii="Times New Roman" w:hAnsi="Times New Roman" w:eastAsia="Microsoft YaHei"/>
        </w:rPr>
        <w:t>1 数据加载与结构梳理</w:t>
      </w:r>
    </w:p>
    <w:p>
      <w:pPr/>
      <w:r>
        <w:rPr>
          <w:rFonts w:ascii="Times New Roman" w:hAnsi="Times New Roman" w:eastAsia="Microsoft YaHei"/>
        </w:rPr>
        <w:t>本研究所使用的数据为标准表格型试验数据，共 320 条记录、11 个字段，数据结构相对规整。按数据类型划分，包含 2 个整数字段、1 个字符字段和 8 个浮点数字段，说明该数据同时具有分组标识信息与连续测量指标信息，适合开展分组比较、性状分析以及以产量为核心的后续建模工作。</w:t>
      </w:r>
    </w:p>
    <w:p>
      <w:pPr/>
      <w:r>
        <w:rPr>
          <w:rFonts w:ascii="Times New Roman" w:hAnsi="Times New Roman" w:eastAsia="Microsoft YaHei"/>
        </w:rPr>
        <w:t>从字段组成看，`Season`、`Cultivar` 和 `Repetition` 构成了数据的基础识别框架。`Season` 为整型字段，可视为季次或试验批次标识，用于区分不同环境或时间阶段下的观测记录；`Cultivar` 为字符型字段，表示品种名称，是数据中的核心分类对象；`Repetition` 同样为整型字段，反映同一试验条件下的重复设置，属于典型的试验设计变量。三者共同界定了单条记录的组织方式，也表明该数据并非简单的独立样本集合，而是带有明确试验层级结构的数据。</w:t>
      </w:r>
    </w:p>
    <w:p>
      <w:pPr/>
      <w:r>
        <w:rPr>
          <w:rFonts w:ascii="Times New Roman" w:hAnsi="Times New Roman" w:eastAsia="Microsoft YaHei"/>
        </w:rPr>
        <w:t>除上述标识字段外，其余 8 个字段 `PH`、`IFP`、`NLP`、`NGP`、`NGL`、`NS`、`MHG`、`GY` 均为浮点型连续变量。从命名方式和数据形态看，这些字段应属于农艺性状或结果指标。其中，`GY` 明显是产量相关变量，其余字段更接近表型或农艺测量指标。由于当前未提供数据手册，这些缩写字段的精确中文含义和计量单位暂不能被严格确认，因此本阶段应以原始字段名保留其业务身份，避免在缺乏依据的情况下进行主观改写。</w:t>
      </w:r>
    </w:p>
    <w:p>
      <w:pPr/>
      <w:r>
        <w:rPr>
          <w:rFonts w:ascii="Times New Roman" w:hAnsi="Times New Roman" w:eastAsia="Microsoft YaHei"/>
        </w:rPr>
        <w:t>从样本预览可进一步识别数据的记录粒度。前五条记录中，前四条均为 `Season=1`、`Cultivar=NEO 760 CE`，对应 `Repetition` 从 1 到 4；第五条记录则切换为同一 `Season` 下另一品种 `MANU IPRO`，且 `Repetition=1`。这表明单条样本更接近于“季次—品种—重复”组合下的一次观测结果，数据整体呈现出按试验季次组织、在季次内比较不同品种、并通过重复观测控制随机波动的典型田间试验结构。</w:t>
      </w:r>
    </w:p>
    <w:p>
      <w:pPr/>
      <w:r>
        <w:rPr>
          <w:rFonts w:ascii="Times New Roman" w:hAnsi="Times New Roman" w:eastAsia="Microsoft YaHei"/>
        </w:rPr>
        <w:t>前五行样本还显示，数值字段均为连续小数，未出现明显的缺失占位符、异常文本或类型混杂现象，说明至少在已展示样本中数据载入结果正常，字段解析也较为一致。样本中的 `PH` 约为 58.6 至 81.2，`IFP` 约为 13.4 至 18.0，`NLP` 约为 98.2 至 102.0，`NGP` 约为 173.0 至 203.0，`NGL` 约为 1.75 至 2.02，`NS` 约为 5.2 至 7.4，`MHG` 约为 141.69 至 152.2，`GY` 约为 3230.99 至 3517.36。不同字段的量纲和取值范围差异较明显，说明后续若进入相关性分析或模型训练，需要注意变量尺度差异带来的影响。</w:t>
      </w:r>
    </w:p>
    <w:p>
      <w:pPr/>
      <w:r>
        <w:rPr>
          <w:rFonts w:ascii="Times New Roman" w:hAnsi="Times New Roman" w:eastAsia="Microsoft YaHei"/>
        </w:rPr>
        <w:t>就分析对象而言，本数据的核心研究对象是不同 `Cultivar` 在不同 `Season` 和 `Repetition` 条件下的农艺性状与 `GY` 表现。换言之，品种是主要比较单元，季次提供环境或批次背景，重复用于增强试验结论的稳定性，而多个连续指标则刻画品种在不同维度上的表现。基于这一结构，数据可以支持后续开展品种表现比较、季次差异分析、重复一致性检验，以及农艺性状与 `GY` 之间关系的探索。</w:t>
      </w:r>
    </w:p>
    <w:p>
      <w:pPr/>
      <w:r>
        <w:rPr>
          <w:rFonts w:ascii="Times New Roman" w:hAnsi="Times New Roman" w:eastAsia="Microsoft YaHei"/>
        </w:rPr>
        <w:t>因此，在数据加载与结构梳理阶段，可以明确该数据集已经具备后续分析所需的基本结构信息：一方面，字段类型清晰，标识变量与测量变量边界明确；另一方面，观测单元具有可解释的试验设计背景。当前阶段尚不能对各缩写字段作超出素材依据的业务定义，但已经可以确认分析框架将围绕“`Season`—`Cultivar`—`Repetition`”的试验组织结构，以及 `PH`、`IFP`、`NLP`、`NGP`、`NGL`、`NS`、`MHG`、`GY` 这些核心指标展开。</w:t>
      </w:r>
    </w:p>
    <w:p>
      <w:pPr>
        <w:pStyle w:val="Heading2"/>
        <w:keepNext/>
      </w:pPr>
      <w:r>
        <w:rPr>
          <w:rFonts w:ascii="Times New Roman" w:hAnsi="Times New Roman" w:eastAsia="Microsoft YaHei"/>
        </w:rPr>
        <w:t>1.1 数据来源与试验设计概览</w:t>
      </w:r>
    </w:p>
    <w:p>
      <w:pPr/>
      <w:r>
        <w:rPr>
          <w:rFonts w:ascii="Times New Roman" w:hAnsi="Times New Roman" w:eastAsia="Microsoft YaHei"/>
        </w:rPr>
        <w:t>该数据来自一个按试验季次组织的表格型田间观测数据集，共 320 条记录、11 个字段。就试验设计而言，数据并非简单地汇总各品种的一次性测量结果，而是围绕 `Season`、`Cultivar` 与 `Repetition` 三个字段建立了明确的分层记录结构。其中，`Season` 用于标识不同季次或试验批次，`Cultivar` 表示参与比较的品种，`Repetition` 则表示同一试验条件下的重复设置。这种组织方式说明数据来源于具有重复观测安排的品种比较试验，能够支持在不同季次背景下对品种表现进行更稳健的比较。</w:t>
      </w:r>
    </w:p>
    <w:p>
      <w:pPr/>
      <w:r>
        <w:rPr>
          <w:rFonts w:ascii="Times New Roman" w:hAnsi="Times New Roman" w:eastAsia="Microsoft YaHei"/>
        </w:rPr>
        <w:t>从样本记录可见，数据的基本组织顺序体现出较清晰的试验逻辑。前四条记录均对应 `Season=1`、`Cultivar=NEO 760 CE`，而 `Repetition` 依次为 1、2、3、4；第五条记录切换为同一 `Season` 下的另一品种 `MANU IPRO`，其 `Repetition=1`。这一现象表明，在同一 `Season` 内，数据先围绕某一 `Cultivar` 记录多个重复观测，再进入下一个品种的记录。由此可以判断，单条样本对应的是某一“季次—品种—重复”组合下的一次具体观测，而不是对某个品种或某个季次的汇总值。</w:t>
      </w:r>
    </w:p>
    <w:p>
      <w:pPr/>
      <w:r>
        <w:rPr>
          <w:rFonts w:ascii="Times New Roman" w:hAnsi="Times New Roman" w:eastAsia="Microsoft YaHei"/>
        </w:rPr>
        <w:t>在试验设计层面，`Season` 反映的是外部试验环境或时间批次的变化来源，是后续分析中识别跨季差异的重要分组维度；`Cultivar` 是核心比较对象，决定了试验的主体研究单元；`Repetition` 则承担控制随机误差、提高比较可靠性的作用。三者共同构成了数据的主索引框架，也决定了后续统计分析不能将全部记录视为完全独立同分布样本，而应充分考虑季次、品种与重复之间的层级关系。</w:t>
      </w:r>
    </w:p>
    <w:p>
      <w:pPr/>
      <w:r>
        <w:rPr>
          <w:rFonts w:ascii="Times New Roman" w:hAnsi="Times New Roman" w:eastAsia="Microsoft YaHei"/>
        </w:rPr>
        <w:t>除这三个设计性字段外，其余 `PH`、`IFP`、`NLP`、`NGP`、`NGL`、`NS`、`MHG` 和 `GY` 均为连续测量结果，说明每个试验单元都同时记录了多项农艺性状与产量相关表现。其中 `GY` 可直接识别为产量相关指标，其余字段则更适合作为配套性状指标参与品种表现刻画。由于当前没有数据手册，这些缩写字段的精确业务含义与计量单位尚不能严格确认，因此在本节中更重要的是明确其在试验设计中的位置：它们都是附着在“季次—品种—重复”这一观测单元上的结果变量。</w:t>
      </w:r>
    </w:p>
    <w:p>
      <w:pPr/>
      <w:r>
        <w:rPr>
          <w:rFonts w:ascii="Times New Roman" w:hAnsi="Times New Roman" w:eastAsia="Microsoft YaHei"/>
        </w:rPr>
        <w:t>因此，这份数据可以概括为一种以季次为外层环境背景、以品种为比较对象、以重复为稳定性保障的田间试验记录。这样的数据来源与试验组织方式，使其既适合开展分组均值比较和品种差异分析，也适合进一步考察不同农艺性状与 `GY` 之间的关系。</w:t>
      </w:r>
    </w:p>
    <w:p>
      <w:pPr>
        <w:pStyle w:val="Heading3"/>
        <w:keepNext/>
      </w:pPr>
      <w:r>
        <w:rPr>
          <w:rFonts w:ascii="Times New Roman" w:hAnsi="Times New Roman" w:eastAsia="Microsoft YaHei"/>
        </w:rPr>
        <w:t>1.1.1 观测单位与记录粒度</w:t>
      </w:r>
    </w:p>
    <w:p>
      <w:pPr/>
      <w:r>
        <w:rPr>
          <w:rFonts w:ascii="Times New Roman" w:hAnsi="Times New Roman" w:eastAsia="Microsoft YaHei"/>
        </w:rPr>
        <w:t>本节关注单条记录究竟对应哪个田间试验单元。结合字段结构与样本预览可判断，该数据的最小观测单位不是单纯的 `Cultivar`，也不是按 `Season` 汇总后的结果，而是由 `Season`、`Cultivar` 与 `Repetition` 共同确定的一次具体田间观测。也就是说，每一行数据都代表某一季次下、某一品种在某一个重复中的一组实际测量结果。</w:t>
      </w:r>
    </w:p>
    <w:p>
      <w:pPr/>
      <w:r>
        <w:rPr>
          <w:rFonts w:ascii="Times New Roman" w:hAnsi="Times New Roman" w:eastAsia="Microsoft YaHei"/>
        </w:rPr>
        <w:t>这一判断可以从原始样本顺序直接得到支持。前四条记录的 `Season` 均为 1、`Cultivar` 均为 `NEO 760 CE`，而 `Repetition` 分别为 1、2、3、4；第五条记录则仍处于 `Season=1`，但 `Cultivar` 已切换为 `MANU IPRO`，同时 `Repetition` 重新从 1 开始。该排列方式表明，数据记录的是同一季次内不同品种在多个重复下的逐次观测结果，而不是先对重复求均值后形成的品种级汇总表。</w:t>
      </w:r>
    </w:p>
    <w:p>
      <w:pPr/>
      <w:r>
        <w:rPr>
          <w:rFonts w:ascii="Times New Roman" w:hAnsi="Times New Roman" w:eastAsia="Microsoft YaHei"/>
        </w:rPr>
        <w:t>从记录内容看，单条样本除包含 `Season`、`Cultivar`、`Repetition` 这三个定位字段外，还同时附带 `PH`、`IFP`、`NLP`、`NGP`、`NGL`、`NS`、`MHG` 和 `GY` 等连续变量。这说明一行数据不是单指标记录，而是针对同一个试验单元同步采集的多项农艺性状与产量结果。因此，在数据使用上，应将这些数值视为同一观测单元上的联合测量结果，而不能拆解为彼此独立的样本。</w:t>
      </w:r>
    </w:p>
    <w:p>
      <w:pPr/>
      <w:r>
        <w:rPr>
          <w:rFonts w:ascii="Times New Roman" w:hAnsi="Times New Roman" w:eastAsia="Microsoft YaHei"/>
        </w:rPr>
        <w:t>按这种粒度理解后，数据表中的 320 条记录可视为 320 个“季次—品种—重复”组合对应的观测实例。这样的记录层级意味着，后续若进行品种比较、季次差异分析或以 `GY` 为目标的建模，首先应明确输入样本是重复层面的原始观测，而非品种层面的汇总均值。否则会混淆试验设计中的重复信息，并削弱对组内波动与组间差异的真实刻画。</w:t>
      </w:r>
    </w:p>
    <w:p>
      <w:pPr>
        <w:pStyle w:val="Heading3"/>
        <w:keepNext/>
      </w:pPr>
      <w:r>
        <w:rPr>
          <w:rFonts w:ascii="Times New Roman" w:hAnsi="Times New Roman" w:eastAsia="Microsoft YaHei"/>
        </w:rPr>
        <w:t>1.1.2 季次、品种与重复结构</w:t>
      </w:r>
    </w:p>
    <w:p>
      <w:pPr/>
      <w:r>
        <w:rPr>
          <w:rFonts w:ascii="Times New Roman" w:hAnsi="Times New Roman" w:eastAsia="Microsoft YaHei"/>
        </w:rPr>
        <w:t>在该数据中，`Season`、`Cultivar` 与 `Repetition` 并不是彼此并列的普通字段，而是共同构成了试验记录的层级框架。结合字段定义与样本排列方式可以看出，`Season` 处于最外层，用于区分不同季次或试验批次；在每一个 `Season` 内，再按 `Cultivar` 展开不同品种的比较；而在每个“季次—品种”组合之下，又通过 `Repetition` 记录多个重复观测。由此可见，这份数据更适合被理解为一种嵌套式试验结构，而不是简单的平面分类表。</w:t>
      </w:r>
    </w:p>
    <w:p>
      <w:pPr/>
      <w:r>
        <w:rPr>
          <w:rFonts w:ascii="Times New Roman" w:hAnsi="Times New Roman" w:eastAsia="Microsoft YaHei"/>
        </w:rPr>
        <w:t>样本预览对这一层级关系给出了直接证据。前四条记录均属于 `Season=1` 且 `Cultivar=NEO 760 CE`，只是 `Repetition` 依次为 1、2、3、4；到第五条时，`Season` 保持不变，但 `Cultivar` 切换为 `MANU IPRO`，同时 `Repetition` 回到 1。这样的顺序说明，数据记录方式是在同一季次中先完整记录某一品种的多个重复，再转入同季次下的下一个品种，而不是把所有重复编号简单视为全表统一流水号。</w:t>
      </w:r>
    </w:p>
    <w:p>
      <w:pPr/>
      <w:r>
        <w:rPr>
          <w:rFonts w:ascii="Times New Roman" w:hAnsi="Times New Roman" w:eastAsia="Microsoft YaHei"/>
        </w:rPr>
        <w:t>从试验设计含义看，三者的角色分工较为明确。`Season` 对应外部环境或时间批次，是识别跨季差异的重要背景维度；`Cultivar` 是核心比较对象，决定了分析中需要关注的品种间表现差异；`Repetition` 则用于在相同季次和相同品种条件下提供重复观测，以降低偶然波动对比较结果的干扰。也正因为存在这一层级结构，后续无论是做描述统计、组间比较还是预测建模，都不宜忽略 `Season` 与 `Repetition` 所代表的分组属性。</w:t>
      </w:r>
    </w:p>
    <w:p>
      <w:pPr/>
      <w:r>
        <w:rPr>
          <w:rFonts w:ascii="Times New Roman" w:hAnsi="Times New Roman" w:eastAsia="Microsoft YaHei"/>
        </w:rPr>
        <w:t>进一步看，表中的 8 个连续变量 `PH`、`IFP`、`NLP`、`NGP`、`NGL`、`NS`、`MHG` 和 `GY`，都是附着在这一层级框架上的观测结果。也就是说，这些数值并不是脱离分组背景独立产生的，而是针对某个具体的“`Season`—`Cultivar`—`Repetition`”组合同步测得的一组性状与产量信息。按照这种结构理解，数据中的 320 条记录应视为 320 个重复层面的原始观测实例，其分析价值正在于既能比较品种，也能保留季次差异和重复波动的信息。</w:t>
      </w:r>
    </w:p>
    <w:p>
      <w:pPr/>
      <w:r>
        <w:rPr>
          <w:rFonts w:ascii="Times New Roman" w:hAnsi="Times New Roman" w:eastAsia="Microsoft YaHei"/>
        </w:rPr>
        <w:t>因此，本数据的组织逻辑可以概括为：以 `Season` 作为外层试验背景，在季次内部按 `Cultivar` 比较品种，并在每个品种下利用 `Repetition` 保存重复观测。这样的结构使数据既具备品种评价功能，也保留了试验设计中的基本统计支撑，为后续从季次、品种和重复三个层面开展分析提供了清晰前提。</w:t>
      </w:r>
    </w:p>
    <w:p>
      <w:pPr>
        <w:pStyle w:val="Heading3"/>
        <w:keepNext/>
      </w:pPr>
      <w:r>
        <w:rPr>
          <w:rFonts w:ascii="Times New Roman" w:hAnsi="Times New Roman" w:eastAsia="Microsoft YaHei"/>
        </w:rPr>
        <w:t>1.1.3 目标变量与农艺性状说明</w:t>
      </w:r>
    </w:p>
    <w:p>
      <w:pPr/>
      <w:r>
        <w:rPr>
          <w:rFonts w:ascii="Times New Roman" w:hAnsi="Times New Roman" w:eastAsia="Microsoft YaHei"/>
        </w:rPr>
        <w:t>在本数据中，`GY` 是最明确的结果性指标，也是后续分析中最适合作为目标变量的字段。与 `Season`、`Cultivar`、`Repetition` 这类用于定位试验条件或组织观测层级的字段不同，`GY` 直接对应每个“季次—品种—重复”观测单元的最终产出表现，因此既可用于品种间产量比较，也可作为监督式建模中的预测对象。从样本预览看，`GY` 为连续数值型变量，前五条记录约在 3230.99 至 3517.36 之间，说明其具有可比较的数量差异，能够反映不同观测单元之间的产量表现变化。</w:t>
      </w:r>
    </w:p>
    <w:p>
      <w:pPr/>
      <w:r>
        <w:rPr>
          <w:rFonts w:ascii="Times New Roman" w:hAnsi="Times New Roman" w:eastAsia="Microsoft YaHei"/>
        </w:rPr>
        <w:t>除 `GY` 外，其余 `PH`、`IFP`、`NLP`、`NGP`、`NGL`、`NS`、`MHG` 均应视为农艺性状字段。这些变量与 `GY` 的角色不同：它们不是试验设计标识，也不是最终目标产出本身，而是描述植株形态、结实表现或产量形成过程相关特征的测量结果。虽然当前素材未提供数据手册，无法确认各缩写的标准中文名称、计量单位及精确定义，但从字段命名形式、数据类型以及与 `GY` 同行出现的结构看，可以确认它们属于围绕单个田间试验单元同步采集的连续型农艺指标。</w:t>
      </w:r>
    </w:p>
    <w:p>
      <w:pPr/>
      <w:r>
        <w:rPr>
          <w:rFonts w:ascii="Times New Roman" w:hAnsi="Times New Roman" w:eastAsia="Microsoft YaHei"/>
        </w:rPr>
        <w:t>从数据结构上看，这 7 个农艺性状与 `GY` 共同构成了一组结果变量集合，其中 `GY` 更偏向综合性产出结果，而其余指标更接近解释性或表型性变量。这样的变量分工意味着，后续分析既可以单独考察各农艺性状在不同 `Season`、不同 `Cultivar` 或不同 `Repetition` 下的变化，也可以进一步研究它们与 `GY` 之间是否存在稳定的关联关系。换言之，`GY` 更适合回答“产量表现如何”，而 `PH`、`IFP`、`NLP`、`NGP`、`NGL`、`NS`、`MHG` 更适合回答“哪些表型差异可能与产量变化相关”。</w:t>
      </w:r>
    </w:p>
    <w:p>
      <w:pPr/>
      <w:r>
        <w:rPr>
          <w:rFonts w:ascii="Times New Roman" w:hAnsi="Times New Roman" w:eastAsia="Microsoft YaHei"/>
        </w:rPr>
        <w:t>从样本取值特征看，各农艺性状具有明显不同的量纲和波动区间。前五条记录中，`PH` 约为 58.6 至 81.2，`IFP` 约为 13.4 至 18.0，`NLP` 约为 98.2 至 102.0，`NGP` 约为 173.0 至 203.0，`NGL` 约为 1.75 至 2.02，`NS` 约为 5.2 至 7.4，`MHG` 约为 141.69 至 152.2。这个现象说明各指标记录的不是同一量纲下的重复测量，而是从不同侧面刻画农艺表现的异质性特征。因此，在解释这些变量时，应避免将其直接进行绝对数值比较，而应更多关注各自内部的分布差异、组间变化以及与 `GY` 的关系强弱。</w:t>
      </w:r>
    </w:p>
    <w:p>
      <w:pPr/>
      <w:r>
        <w:rPr>
          <w:rFonts w:ascii="Times New Roman" w:hAnsi="Times New Roman" w:eastAsia="Microsoft YaHei"/>
        </w:rPr>
        <w:t>就业务角色而言，`GY` 可以理解为品种表现评估中的核心输出指标，因为品种筛选、产量比较和预测建模通常都以产出水平为中心；而 `PH`、`IFP`、`NLP`、`NGP`、`NGL`、`NS`、`MHG` 则承担辅助解释和表型刻画作用。它们一方面可以帮助识别不同品种在农艺特征上的差异，另一方面也为解释 `GY` 的变化提供候选线索。尤其是在后续建立以 `GY` 为目标的回归模型时，这些农艺性状更适合作为输入特征，而不是与 `GY` 并列处理的独立目标。</w:t>
      </w:r>
    </w:p>
    <w:p>
      <w:pPr/>
      <w:r>
        <w:rPr>
          <w:rFonts w:ascii="Times New Roman" w:hAnsi="Times New Roman" w:eastAsia="Microsoft YaHei"/>
        </w:rPr>
        <w:t>需要强调的是，现阶段能够确认的是这些字段的统计角色和数据结构定位，而不是每个缩写的严格业务释义。由于缺少字段字典，本报告在本阶段不对 `PH`、`IFP`、`NLP`、`NGP`、`NGL`、`NS`、`MHG` 的中文全称作未经证实的扩展解释，只将其审慎界定为农艺性状指标，将 `GY` 界定为产量结果指标。这样的处理能够保证后续分析在字段使用上保持准确：即以 `GY` 作为核心目标变量，以其余连续字段作为农艺解释变量，并在后续可视化与建模阶段进一步检验它们的分布特征和关联价值。</w:t>
      </w:r>
    </w:p>
    <w:p>
      <w:pPr>
        <w:pStyle w:val="Heading2"/>
        <w:keepNext/>
      </w:pPr>
      <w:r>
        <w:rPr>
          <w:rFonts w:ascii="Times New Roman" w:hAnsi="Times New Roman" w:eastAsia="Microsoft YaHei"/>
        </w:rPr>
        <w:t>1.2 字段构成与数据类型识别</w:t>
      </w:r>
    </w:p>
    <w:p>
      <w:pPr/>
      <w:r>
        <w:rPr>
          <w:rFonts w:ascii="Times New Roman" w:hAnsi="Times New Roman" w:eastAsia="Microsoft YaHei"/>
        </w:rPr>
        <w:t>从字段构成看，该数据集共包含 11 个字段，其中 `int64` 类型 2 个、`object` 类型 1 个、`float64` 类型 8 个，呈现出较为典型的“少量分组标识字段 + 多个连续测量字段”结构。按数据类型划分，`Season` 和 `Repetition` 属于整型字段，`Cultivar` 属于字符型字段，`PH`、`IFP`、`NLP`、`NGP`、`NGL`、`NS`、`MHG`、`GY` 均为浮点型字段。这样的类型分布说明，数据表既包含用于组织试验结构的分类信息，也包含可直接进入统计分析的连续数值信息。</w:t>
      </w:r>
    </w:p>
    <w:p>
      <w:pPr/>
      <w:r>
        <w:rPr>
          <w:rFonts w:ascii="Times New Roman" w:hAnsi="Times New Roman" w:eastAsia="Microsoft YaHei"/>
        </w:rPr>
        <w:t>就分析角色而言，`Cultivar` 是最明确的分类型字段。其数据类型为 `object`，且样本中取值表现为品种名称文本，如 `NEO 760 CE`、`MANU IPRO`，因此不应被误判为可直接参与数值运算的变量。该字段更适合作为分组、对比、编码或哑变量展开的对象，用于刻画不同品种之间的表现差异。</w:t>
      </w:r>
    </w:p>
    <w:p>
      <w:pPr/>
      <w:r>
        <w:rPr>
          <w:rFonts w:ascii="Times New Roman" w:hAnsi="Times New Roman" w:eastAsia="Microsoft YaHei"/>
        </w:rPr>
        <w:t>`Season` 与 `Repetition` 虽然在存储类型上均为整数型，但其统计含义并不等同于常规连续数值变量。结合样本可见，`Season` 用于标识季次或试验批次，`Repetition` 用于标识重复编号，它们的取值本质上是类别标签或顺序编号，而不是具有连续度量意义的数量。也就是说，这两个字段在技术上是数值型存储，在分析上更应视为分组标识字段。若后续直接将其按连续变量处理，可能会错误引入不存在的大小距离关系，因此在描述统计、建模或可视化中需要根据具体任务决定是保留为分组变量，还是进一步做类别化编码。</w:t>
      </w:r>
    </w:p>
    <w:p>
      <w:pPr/>
      <w:r>
        <w:rPr>
          <w:rFonts w:ascii="Times New Roman" w:hAnsi="Times New Roman" w:eastAsia="Microsoft YaHei"/>
        </w:rPr>
        <w:t>其余 8 个 `float64` 字段构成数据中的主要连续变量集合。`PH`、`IFP`、`NLP`、`NGP`、`NGL`、`NS`、`MHG` 与 `GY` 均以小数形式记录，且从样本预览看，不同字段具有明显不同的取值区间。例如，`NGL` 在前五条记录中约为 1.75 至 2.02，而 `GY` 已达到 3230.99 至 3517.36，`MHG` 在 141.69 至 152.2 之间，`PH` 在 58.6 至 81.2 之间。这说明各连续变量量纲并不统一，后续若进入距离敏感或尺度敏感的分析流程，需要额外关注标准化或尺度调整问题。</w:t>
      </w:r>
    </w:p>
    <w:p>
      <w:pPr/>
      <w:r>
        <w:rPr>
          <w:rFonts w:ascii="Times New Roman" w:hAnsi="Times New Roman" w:eastAsia="Microsoft YaHei"/>
        </w:rPr>
        <w:t>从数据质量的初步识别角度看，当前字段命名整体较为规整，11 个列名均为简短、稳定的英文缩写或标识字段名称，样本展示中未见明显的错位列名、重复表头、带单位混入表头的字符串，或诸如空白列名、异常符号列名等结构性问题。特别是 `Season`、`Cultivar`、`Repetition` 与各性状字段、`GY` 之间的命名边界较清晰，说明在字段层面暂未观察到显著的表头异常。</w:t>
      </w:r>
    </w:p>
    <w:p>
      <w:pPr/>
      <w:r>
        <w:rPr>
          <w:rFonts w:ascii="Times New Roman" w:hAnsi="Times New Roman" w:eastAsia="Microsoft YaHei"/>
        </w:rPr>
        <w:t>不过，仍有两类潜在问题需要保留审慎判断。其一，`PH`、`IFP`、`NLP`、`NGP`、`NGL`、`NS`、`MHG` 这类缩写字段虽然类型明确，但现有素材未提供数据手册，无法仅凭字段名确认其标准业务释义、单位和取值约束，因此它们在“名称可读性”层面仍存在一定的信息不完全性。其二，`Season` 和 `Repetition` 容易因为整型存储而被误当作普通数值特征，这属于字段类型识别中的典型隐性风险，不是表头错误，但会直接影响后续分析口径。</w:t>
      </w:r>
    </w:p>
    <w:p>
      <w:pPr/>
      <w:r>
        <w:rPr>
          <w:rFonts w:ascii="Times New Roman" w:hAnsi="Times New Roman" w:eastAsia="Microsoft YaHei"/>
        </w:rPr>
        <w:t>结合前五条记录还可以看到，当前样本中所有数值字段均成功解析为数值类型，未出现诸如缺失标记混入文本、数字字段被错误读成字符、或文本字段中夹杂明显数值异常格式的情况。`Cultivar` 作为文本字段也未表现出数值化痕迹，说明至少在样本展示范围内，字段类型识别结果与实际内容是一致的。</w:t>
      </w:r>
    </w:p>
    <w:p>
      <w:pPr/>
      <w:r>
        <w:rPr>
          <w:rFonts w:ascii="Times New Roman" w:hAnsi="Times New Roman" w:eastAsia="Microsoft YaHei"/>
        </w:rPr>
        <w:t>因此，这份数据在字段层面可以明确划分为三类：第一类是分组与标识字段，即 `Season`、`Cultivar`、`Repetition`；第二类是连续型农艺性状字段，即 `PH`、`IFP`、`NLP`、`NGP`、`NGL`、`NS`、`MHG`；第三类是连续型结果字段 `GY`。在这一划分下，真正需要重点警惕的并非明显的表头错误，而是“存储类型”和“分析类型”之间可能存在的不一致，尤其是对 `Season` 和 `Repetition` 的解释方式，以及对多个缩写字段业务含义尚未完全确认的事实。</w:t>
      </w:r>
    </w:p>
    <w:p>
      <w:pPr>
        <w:pStyle w:val="Heading3"/>
        <w:keepNext/>
      </w:pPr>
      <w:r>
        <w:rPr>
          <w:rFonts w:ascii="Times New Roman" w:hAnsi="Times New Roman" w:eastAsia="Microsoft YaHei"/>
        </w:rPr>
        <w:t>1.2.1 核心标识字段说明</w:t>
      </w:r>
    </w:p>
    <w:p>
      <w:pPr/>
      <w:r>
        <w:rPr>
          <w:rFonts w:ascii="Times New Roman" w:hAnsi="Times New Roman" w:eastAsia="Microsoft YaHei"/>
        </w:rPr>
        <w:t>本节所指的核心标识字段，主要包括 `Season`、`Cultivar` 和 `Repetition`。这三列并不直接描述农艺性状或产量水平，而是用于界定每条记录所处的试验条件、研究对象与重复位置，构成整张数据表最基本的分组框架。结合现有字段结构可见，在 11 个字段中，真正承担“标识与分组”功能的正是这 3 个变量，其余字段则是在这一框架下采集得到的连续观测结果。</w:t>
      </w:r>
    </w:p>
    <w:p>
      <w:pPr/>
      <w:r>
        <w:rPr>
          <w:rFonts w:ascii="Times New Roman" w:hAnsi="Times New Roman" w:eastAsia="Microsoft YaHei"/>
        </w:rPr>
        <w:t>`Season` 是季次标识字段，数据类型为 `int64`。从样本记录看，前五条数据的 `Season` 均为 1，说明这些样本来自同一季次。尽管该字段以整数形式存储，但其分析含义更接近试验批次、年份阶段或环境轮次的标签，而不是可按数值大小直接计算距离的连续变量。因此，在后续分析中，`Season` 更适合作为分层比较、分组统计或控制环境差异的依据，用于识别不同季次之间是否存在系统性表现差异。</w:t>
      </w:r>
    </w:p>
    <w:p>
      <w:pPr/>
      <w:r>
        <w:rPr>
          <w:rFonts w:ascii="Times New Roman" w:hAnsi="Times New Roman" w:eastAsia="Microsoft YaHei"/>
        </w:rPr>
        <w:t>`Cultivar` 是品种标识字段，也是本数据中最明确的类别变量，数据类型为 `object`。样本中已经出现 `NEO 760 CE` 和 `MANU IPRO` 等文本取值，说明该字段用于记录具体品种名称，而非数值测量结果。它承担的是“研究对象识别”功能：同一 `Season` 下，不同 `Cultivar` 对应不同参试品种；围绕该字段可以开展品种间均值比较、稳定性分析和后续类别编码。由于其本质是文本类别，不能将其视为可直接参与数值运算的连续变量。</w:t>
      </w:r>
    </w:p>
    <w:p>
      <w:pPr/>
      <w:r>
        <w:rPr>
          <w:rFonts w:ascii="Times New Roman" w:hAnsi="Times New Roman" w:eastAsia="Microsoft YaHei"/>
        </w:rPr>
        <w:t>`Repetition` 是重复编号字段，数据类型同样为 `int64`。前五条样本中，`NEO 760 CE` 在 `Season=1` 条件下对应了 `Repetition=1` 至 `4` 的连续记录，第五条则显示 `MANU IPRO` 在同一季次下从 `Repetition=1` 开始记录。这表明 `Repetition` 用于标识同一季次、同一品种下的重复试验单元，是田间试验设计中的关键控制变量。它的作用不在于表达数量变化，而在于区分平行重复、降低偶然误差并支撑更稳健的组间比较。</w:t>
      </w:r>
    </w:p>
    <w:p>
      <w:pPr/>
      <w:r>
        <w:rPr>
          <w:rFonts w:ascii="Times New Roman" w:hAnsi="Times New Roman" w:eastAsia="Microsoft YaHei"/>
        </w:rPr>
        <w:t>从字段角色的配合关系看，`Season`、`Cultivar` 与 `Repetition` 共同定义了单条记录的定位方式。也就是说，一条样本不是孤立的一组性状数值，而是某一特定“季次—品种—重复”组合下的观测结果。这样的结构意味着，后续无论进行描述统计、差异比较还是预测建模，都需要优先尊重这三个字段所代表的分组层级，避免把本应属于试验组织结构的信息误当成普通连续自变量处理。</w:t>
      </w:r>
    </w:p>
    <w:p>
      <w:pPr/>
      <w:r>
        <w:rPr>
          <w:rFonts w:ascii="Times New Roman" w:hAnsi="Times New Roman" w:eastAsia="Microsoft YaHei"/>
        </w:rPr>
        <w:t>还需要注意的是，`Season` 与 `Repetition` 虽然都是整数型字段，但它们与 `PH`、`IFP`、`GY` 这类连续测量变量的统计性质并不相同。前者更接近编号或类别标签，后者才是具有实际量纲和数值波动意义的测量结果。因此，在数据整理与建模准备阶段，应将这两个字段视为潜在的分类分组变量；而 `Cultivar` 作为文本类别字段，则天然属于分类型标识变量。这样的识别结果，为后续字段编码、分组验证和结果解释提供了清晰前提。</w:t>
      </w:r>
    </w:p>
    <w:p>
      <w:pPr>
        <w:pStyle w:val="Heading3"/>
        <w:keepNext/>
      </w:pPr>
      <w:r>
        <w:rPr>
          <w:rFonts w:ascii="Times New Roman" w:hAnsi="Times New Roman" w:eastAsia="Microsoft YaHei"/>
        </w:rPr>
        <w:t>1.2.2 农艺性状字段清单</w:t>
      </w:r>
    </w:p>
    <w:p>
      <w:pPr/>
      <w:r>
        <w:rPr>
          <w:rFonts w:ascii="Times New Roman" w:hAnsi="Times New Roman" w:eastAsia="Microsoft YaHei"/>
        </w:rPr>
        <w:t>本节涉及的农艺性状字段共 7 个，分别为 `PH`、`IFP`、`NLP`、`NGP`、`NGL`、`NS` 和 `MHG`。这 7 列均为 `float64` 类型，构成除分组标识字段与产量字段之外的主要连续观测变量，也是后续开展性状分布分析、组间比较和产量关联分析的核心输入。</w:t>
      </w:r>
    </w:p>
    <w:p>
      <w:pPr/>
      <w:r>
        <w:rPr>
          <w:rFonts w:ascii="Times New Roman" w:hAnsi="Times New Roman" w:eastAsia="Microsoft YaHei"/>
        </w:rPr>
        <w:t>从字段角色上看，这些变量都应理解为表型或农艺测量指标，而不是用于标识样本身份的字段。与 `Season`、`Cultivar`、`Repetition` 不同，它们描述的是同一试验单元在形态、生长或构成特征上的实际观测结果，因此更适合用于刻画品种差异、分析季次影响，以及识别哪些性状变化可能与 `GY` 的波动相关。</w:t>
      </w:r>
    </w:p>
    <w:p>
      <w:pPr/>
      <w:r>
        <w:rPr>
          <w:rFonts w:ascii="Times New Roman" w:hAnsi="Times New Roman" w:eastAsia="Microsoft YaHei"/>
        </w:rPr>
        <w:t>就现有素材能够确认的信息而言，虽然各缩写字段的精确中文名称和计量单位尚未提供，但可以明确它们均属于连续数值变量，并且具有不同的量纲与波动区间。样本预览显示，`PH` 约为 58.6 至 81.2，`IFP` 约为 13.4 至 18.0，`NLP` 约为 98.2 至 102.0，`NGP` 约为 173.0 至 203.0，`NGL` 约为 1.75 至 2.02，`NS` 约为 5.2 至 7.4，`MHG` 约为 141.69 至 152.2。这样的取值特征说明，不同性状之间不能直接按绝对数值大小进行横向比较，而应结合各自分布特征理解其变化幅度和统计意义。</w:t>
      </w:r>
    </w:p>
    <w:p>
      <w:pPr/>
      <w:r>
        <w:rPr>
          <w:rFonts w:ascii="Times New Roman" w:hAnsi="Times New Roman" w:eastAsia="Microsoft YaHei"/>
        </w:rPr>
        <w:t>按分析用途进一步划分，`PH`、`IFP`、`NLP`、`NGP`、`NGL`、`NS`、`MHG` 共同构成后续解释性特征集合：它们既可以单独考察分布、离散程度和异常值情况，也可以与 `Season`、`Cultivar`、`Repetition` 结合开展分层统计，还可以与 `GY` 联合分析潜在关联结构。由于这些字段均以浮点数形式存储，技术上适合进入相关性分析、回归建模和标准化处理流程，但在正式解释时仍需注意其业务含义尚未由数据手册明确给出，因而本阶段更适宜将其界定为“农艺性状字段”，而不对缩写作超出素材依据的扩展释义。</w:t>
      </w:r>
    </w:p>
    <w:p>
      <w:pPr/>
      <w:r>
        <w:rPr>
          <w:rFonts w:ascii="Times New Roman" w:hAnsi="Times New Roman" w:eastAsia="Microsoft YaHei"/>
        </w:rPr>
        <w:t>从数据组织角度看，这 7 个农艺性状字段与 `GY` 一起构成数据表中的主要测量结果层。区别在于，`GY` 在后续章节中将单独作为产量结果变量讨论，而本节所列字段主要承担解释和刻画表型差异的作用。也就是说，它们并不直接回答“最终产量是多少”，而是用于描述每条样本在多个农艺维度上的表现，为后续识别产量差异来源提供变量基础。</w:t>
      </w:r>
    </w:p>
    <w:p>
      <w:pPr>
        <w:pStyle w:val="Heading3"/>
        <w:keepNext/>
      </w:pPr>
      <w:r>
        <w:rPr>
          <w:rFonts w:ascii="Times New Roman" w:hAnsi="Times New Roman" w:eastAsia="Microsoft YaHei"/>
        </w:rPr>
        <w:t>1.2.3 产量字段GY定义</w:t>
      </w:r>
    </w:p>
    <w:p>
      <w:pPr/>
      <w:r>
        <w:rPr>
          <w:rFonts w:ascii="Times New Roman" w:hAnsi="Times New Roman" w:eastAsia="Microsoft YaHei"/>
        </w:rPr>
        <w:t>`GY` 是本数据中的产量结果字段，数据类型为 `float64`。从字段构成看，在 11 个变量中，`GY` 与 `PH`、`IFP`、`NLP`、`NGP`、`NGL`、`NS`、`MHG` 同属连续数值列，但其分析角色与前述农艺性状并不相同：这些性状更多承担解释性输入的功能，而 `GY` 更适合作为核心结果变量，用于衡量不同 `Season`、`Cultivar` 与 `Repetition` 组合下的最终产出表现。</w:t>
      </w:r>
    </w:p>
    <w:p>
      <w:pPr/>
      <w:r>
        <w:rPr>
          <w:rFonts w:ascii="Times New Roman" w:hAnsi="Times New Roman" w:eastAsia="Microsoft YaHei"/>
        </w:rPr>
        <w:t>从样本预览可见，`GY` 以前五条记录中的取值约为 3230.99 至 3517.36，表现为连续小数而非分档等级或类别标签。这说明 `GY` 不是分类意义上的高产、低产标记，而是可以直接进行均值比较、离散分析、相关分析和回归建模的数值型目标变量。也正因为如此，围绕 `GY` 可以开展两类核心分析：一类是描述性分析，即比较不同季次、品种和重复条件下的产量差异；另一类是预测性分析，即利用其他农艺性状及分组信息解释和预测产量变化。</w:t>
      </w:r>
    </w:p>
    <w:p>
      <w:pPr/>
      <w:r>
        <w:rPr>
          <w:rFonts w:ascii="Times New Roman" w:hAnsi="Times New Roman" w:eastAsia="Microsoft YaHei"/>
        </w:rPr>
        <w:t>在后续建模语境下，`GY` 应被定义为监督学习中的目标输出。具体而言，`PH`、`IFP`、`NLP`、`NGP`、`NGL`、`NS`、`MHG` 这类连续性状，以及视任务需要纳入的 `Season`、`Cultivar`、`Repetition` 等分组变量，都可以作为影响 `GY` 的候选输入特征；模型的任务则是学习这些输入与 `GY` 之间的对应关系，从而实现对产量水平的估计。由于 `GY` 为连续数值，这一任务在方法上应归入回归问题，而不是分类问题。</w:t>
      </w:r>
    </w:p>
    <w:p>
      <w:pPr/>
      <w:r>
        <w:rPr>
          <w:rFonts w:ascii="Times New Roman" w:hAnsi="Times New Roman" w:eastAsia="Microsoft YaHei"/>
        </w:rPr>
        <w:t>从业务解释角度看，`GY` 是连接试验观测与决策应用的关键字段。无论是进行品种比较、识别高潜力材料，还是评估不同季次环境下的表现稳定性，最终都需要落到产量结果本身。因此，`GY` 不仅是统计分析中的被解释变量，也是整份数据中最直接反映试验目标的核心指标。现阶段虽然缺少该字段的单位说明与业务手册，但基于其字段位置、命名方式和数值表现，已经可以明确将其视为本数据的主要结果变量与后续预测任务的目标列。</w:t>
      </w:r>
    </w:p>
    <w:p>
      <w:pPr>
        <w:pStyle w:val="Heading3"/>
        <w:keepNext/>
      </w:pPr>
      <w:r>
        <w:rPr>
          <w:rFonts w:ascii="Times New Roman" w:hAnsi="Times New Roman" w:eastAsia="Microsoft YaHei"/>
        </w:rPr>
        <w:t>1.2.4 异常表头与命名问题初检</w:t>
      </w:r>
    </w:p>
    <w:p>
      <w:pPr/>
      <w:r>
        <w:rPr>
          <w:rFonts w:ascii="Times New Roman" w:hAnsi="Times New Roman" w:eastAsia="Microsoft YaHei"/>
        </w:rPr>
        <w:t>就当前数据导入结果看，表头结构整体较为规整，未发现明显的错位列、重复列名或混入说明性文本的情况。11 个字段名称分别为 `Season`、`Cultivar`、`Repetition`、`PH`、`IFP`、`NLP`、`NGP`、`NGL`、`NS`、`MHG` 和 `GY`，且字段名与对应数据类型之间保持一致：分组标识字段、文本字段与连续数值字段的划分清晰，这说明原始表头在基础结构上具备可读性，暂未出现因表头异常导致的数据解析错误。</w:t>
      </w:r>
    </w:p>
    <w:p>
      <w:pPr/>
      <w:r>
        <w:rPr>
          <w:rFonts w:ascii="Times New Roman" w:hAnsi="Times New Roman" w:eastAsia="Microsoft YaHei"/>
        </w:rPr>
        <w:t>从命名一致性角度看，目前字段名未出现同一含义被写成多种形式的直接证据。例如，`Season` 与 `Repetition` 均采用完整英文单词，`Cultivar` 作为品种字段也保持了明确语义；`PH`、`IFP`、`NLP`、`NGP`、`NGL`、`NS`、`MHG`、`GY` 则采用缩写形式，至少在当前列清单中未见大小写混杂、空格夹杂、前后缀不统一或同类字段命名风格突然变化的问题。就首轮检查而言，表头层面的命名规范性基本可接受。</w:t>
      </w:r>
    </w:p>
    <w:p>
      <w:pPr/>
      <w:r>
        <w:rPr>
          <w:rFonts w:ascii="Times New Roman" w:hAnsi="Times New Roman" w:eastAsia="Microsoft YaHei"/>
        </w:rPr>
        <w:t>不过，当前命名体系仍存在一类需要重点标记的潜在问题，即“完整单词命名”和“业务缩写命名”并存。`Season`、`Cultivar`、`Repetition` 的语义较直观，而 `PH`、`IFP`、`NLP`、`NGP`、`NGL`、`NS`、`MHG`、`GY` 的业务含义则无法仅凭现有素材被准确还原。这种情况不属于表头错误，但属于命名解释不足：对于熟悉试验背景的使用者可能没有障碍，但在跨团队协作、数据交接、建模复现或报告解读时，容易出现缩写理解不一致的问题。尤其是多个农艺性状字段均为大写短缩写，如果缺少数据字典支持，后续很难仅根据列名判断其具体含义、计量单位及业务边界。</w:t>
      </w:r>
    </w:p>
    <w:p>
      <w:pPr/>
      <w:r>
        <w:rPr>
          <w:rFonts w:ascii="Times New Roman" w:hAnsi="Times New Roman" w:eastAsia="Microsoft YaHei"/>
        </w:rPr>
        <w:t>另一个需要关注的点是文本型字段 `Cultivar` 的列名与取值格式虽然正常，但其取值本身包含空格，如样本中的 `NEO 760 CE`、`MANU IPRO`。这并不构成表头异常，但提示后续若进行字段映射、独热编码或名称标准化时，需将“列名规范”与“字段取值规范”分开处理，避免把品种值中的空格误判为列名命名问题。就本节的初检范围而言，异常主要不在表头字符结构，而在缩写字段缺少明确定义这一命名透明度问题。</w:t>
      </w:r>
    </w:p>
    <w:p>
      <w:pPr/>
      <w:r>
        <w:rPr>
          <w:rFonts w:ascii="Times New Roman" w:hAnsi="Times New Roman" w:eastAsia="Microsoft YaHei"/>
        </w:rPr>
        <w:t>因此，当前可形成的初步判断是：原始数据表头没有发现显性的结构性异常，字段名称列表完整、类型匹配正常、命名书写也未见直接冲突；但缩写字段占比较高，且缺少对应释义与单位说明，属于后续应重点补充的数据字典问题。在进入正式清洗和字段修正阶段前，应优先确认这些缩写列的标准定义，检查是否存在同义缩写、历史版本异名或业务解释不一致的情况，以降低后续分析中的理解偏差。</w:t>
      </w:r>
    </w:p>
    <w:p>
      <w:pPr>
        <w:pStyle w:val="Heading2"/>
        <w:keepNext/>
      </w:pPr>
      <w:r>
        <w:rPr>
          <w:rFonts w:ascii="Times New Roman" w:hAnsi="Times New Roman" w:eastAsia="Microsoft YaHei"/>
        </w:rPr>
        <w:t>1.3 样本规模与分层分布概览</w:t>
      </w:r>
    </w:p>
    <w:p>
      <w:pPr/>
      <w:r>
        <w:rPr>
          <w:rFonts w:ascii="Times New Roman" w:hAnsi="Times New Roman" w:eastAsia="Microsoft YaHei"/>
        </w:rPr>
        <w:t>从整体规模看，该数据共包含 320 条记录、11 个字段，属于典型的中等规模表格型试验数据。字段结构上，`Season` 与 `Repetition` 为整型，`Cultivar` 为文本型，`PH`、`IFP`、`NLP`、`NGP`、`NGL`、`NS`、`MHG` 与 `GY` 为浮点型连续变量。这种“分组标识字段 + 品种字段 + 多个连续观测指标”的组合，说明数据已经具备开展分层描述统计的基本条件，既可以从总体样本量判断分析覆盖面，也可以沿 `Season`、`Cultivar`、`Repetition` 三个层级进一步检查样本分布是否完整、是否存在明显失衡。</w:t>
      </w:r>
    </w:p>
    <w:p>
      <w:pPr/>
      <w:r>
        <w:rPr>
          <w:rFonts w:ascii="Times New Roman" w:hAnsi="Times New Roman" w:eastAsia="Microsoft YaHei"/>
        </w:rPr>
        <w:t>从记录粒度推断，单条样本对应的是一个具体的“`Season`—`Cultivar`—`Repetition`”组合下的观测结果。样本预览中，前四条记录均属于 `Season=1`、`Cultivar=NEO 760 CE`，而 `Repetition` 依次为 1 至 4；第五条则切换为同一 `Season` 下的另一品种 `MANU IPRO`，`Repetition` 重新从 1 开始。仅从这一局部结构即可看出，数据并不是简单的品种清单或汇总均值表，而是保留了重复试验层面的原始观测，这使得后续比较不同季次、不同品种及不同重复条件下的表现成为可能。</w:t>
      </w:r>
    </w:p>
    <w:p>
      <w:pPr/>
      <w:r>
        <w:rPr>
          <w:rFonts w:ascii="Times New Roman" w:hAnsi="Times New Roman" w:eastAsia="Microsoft YaHei"/>
        </w:rPr>
        <w:t>就当前已知信息而言，样本覆盖至少呈现出明确的分层组织特征。`Season` 负责区分不同季次或试验批次，`Cultivar` 代表不同品种，`Repetition` 则反映同一分组条件下的重复观测。由于三者共同构成了数据的主要分层框架，因此对样本规模的理解不能停留在“总共有 320 行”这一总体数量上，还需要关注这些记录在各层之间如何分布。如果某一层级分布较为均匀，则组间比较更具可比性；若某些 `Season`、`Cultivar` 或 `Repetition` 的样本明显偏少，则在解释均值差异、波动程度和后续建模结果时都应保持谨慎。</w:t>
      </w:r>
    </w:p>
    <w:p>
      <w:pPr/>
      <w:r>
        <w:rPr>
          <w:rFonts w:ascii="Times New Roman" w:hAnsi="Times New Roman" w:eastAsia="Microsoft YaHei"/>
        </w:rPr>
        <w:t>从现有预览还能看到，`Repetition` 至少包含 1 至 4 的编号，这意味着重复设计在数据中是显式保留的，而不是事先聚合后的结果。这一点对样本分布判断尤为重要：重复观测的存在通常有助于降低偶然误差，并提升对品种表现稳定性的识别能力。与此同时，`Cultivar` 为文本型字段，且样本中已经出现多个品种名称，说明 320 条记录并非来自单一材料，而是覆盖多个研究对象。由于当前素材未直接给出 `Season` 的取值个数、`Cultivar` 的唯一值数量以及各组频数明细，因此本节不对各层样本是否完全均衡作定量断言，但可以确认该数据已经具备多层分组分析所需的基础覆盖结构。</w:t>
      </w:r>
    </w:p>
    <w:p>
      <w:pPr/>
      <w:r>
        <w:rPr>
          <w:rFonts w:ascii="Times New Roman" w:hAnsi="Times New Roman" w:eastAsia="Microsoft YaHei"/>
        </w:rPr>
        <w:t>从分析准备角度看，这样的样本规模与分层形式适合开展三类工作。第一，可以基于总体 320 条记录对各连续变量进行分布、离散度和异常值的描述；第二，可以围绕 `Season`、`Cultivar` 和 `Repetition` 进行分组比较，观察样本在不同层级上的覆盖充分性；第三，可以在保持原始分组信息的前提下，进一步构建面向 `GY` 的解释与预测分析。也就是说，当前数据不仅具备总体统计的基础，也保留了足够的结构信息，能够支持后续更细致的分层检验与组间差异分析。</w:t>
      </w:r>
    </w:p>
    <w:p>
      <w:pPr>
        <w:pStyle w:val="Heading3"/>
        <w:keepNext/>
      </w:pPr>
      <w:r>
        <w:rPr>
          <w:rFonts w:ascii="Times New Roman" w:hAnsi="Times New Roman" w:eastAsia="Microsoft YaHei"/>
        </w:rPr>
        <w:t>1.3.1 总样本量与字段维度</w:t>
      </w:r>
    </w:p>
    <w:p>
      <w:pPr/>
      <w:r>
        <w:rPr>
          <w:rFonts w:ascii="Times New Roman" w:hAnsi="Times New Roman" w:eastAsia="Microsoft YaHei"/>
        </w:rPr>
        <w:t>从整体数据规模看，当前数据集包含 320 条记录和 11 个字段，属于结构清晰的表格型试验数据。以数据维度而言，11 个字段足以同时承载试验分组信息、对象标识以及多项连续观测指标，因此不仅能够支持基础描述统计，也具备进一步开展分层比较和回归分析的基本信息容量。</w:t>
      </w:r>
    </w:p>
    <w:p>
      <w:pPr/>
      <w:r>
        <w:rPr>
          <w:rFonts w:ascii="Times New Roman" w:hAnsi="Times New Roman" w:eastAsia="Microsoft YaHei"/>
        </w:rPr>
        <w:t>字段类型分布同样较为明确。11 个字段中，`Season` 与 `Repetition` 为 `int64` 类型，`Cultivar` 为 `object` 类型，其余 `PH`、`IFP`、`NLP`、`NGP`、`NGL`、`NS`、`MHG` 与 `GY` 均为 `float64` 类型。按类型汇总，即 2 个整数字段、1 个文本字段和 8 个浮点数字段。这种结构说明数据以少量分组标识变量配合多数连续性状指标构成，既保留了试验设计中的层级信息，也为后续分析农艺性状与 `GY` 之间的数量关系提供了直接输入。</w:t>
      </w:r>
    </w:p>
    <w:p>
      <w:pPr/>
      <w:r>
        <w:rPr>
          <w:rFonts w:ascii="Times New Roman" w:hAnsi="Times New Roman" w:eastAsia="Microsoft YaHei"/>
        </w:rPr>
        <w:t>从字段角色划分看，`Season`、`Cultivar` 和 `Repetition` 共同构成样本识别与分层分析的基础框架，其余 8 个浮点字段则对应具体观测结果。其中 `GY` 是产量结果字段，`PH`、`IFP`、`NLP`、`NGP`、`NGL`、`NS`、`MHG` 为连续型农艺性状或相关测量指标。也就是说，这 11 个字段并非简单并列存在，而是形成了“分组字段 + 研究对象字段 + 连续指标字段”的完整数据结构。</w:t>
      </w:r>
    </w:p>
    <w:p>
      <w:pPr/>
      <w:r>
        <w:rPr>
          <w:rFonts w:ascii="Times New Roman" w:hAnsi="Times New Roman" w:eastAsia="Microsoft YaHei"/>
        </w:rPr>
        <w:t>仅就总样本量与字段维度而言，320×11 的数据形态表明当前数据并非极小样本，也不是高维特征场景，而是更接近中等规模、低到中等维度的试验型数据集。这样的规模通常便于开展数据质量检查、分组统计、可视化比较以及监督式建模，同时不会因字段数量过多而在初步分析阶段造成明显的维度负担。</w:t>
      </w:r>
    </w:p>
    <w:p>
      <w:pPr>
        <w:pStyle w:val="Heading3"/>
        <w:keepNext/>
      </w:pPr>
      <w:r>
        <w:rPr>
          <w:rFonts w:ascii="Times New Roman" w:hAnsi="Times New Roman" w:eastAsia="Microsoft YaHei"/>
        </w:rPr>
        <w:t>1.3.2 Season层面样本均衡性</w:t>
      </w:r>
    </w:p>
    <w:p>
      <w:pPr/>
      <w:r>
        <w:rPr>
          <w:rFonts w:ascii="Times New Roman" w:hAnsi="Times New Roman" w:eastAsia="Microsoft YaHei"/>
        </w:rPr>
        <w:t>在 `Season` 层面，当前素材能够确认数据至少包含两个季次。虽然现有上下文未直接给出各 `Season` 的精确样本计数，但从散点矩阵的分层表现看，不同季次对应的样本点云高度重叠，没有出现某一季次明显稀疏、另一季次明显主导图形结构的现象。这说明就整体覆盖情况而言，`Season` 之间未表现出强烈的样本失衡信号，季次维度上的样本分布具备一定均衡性。</w:t>
      </w:r>
    </w:p>
    <w:p>
      <w:pPr>
        <w:spacing w:before="200" w:after="80"/>
        <w:jc w:val="center"/>
      </w:pPr>
      <w:r>
        <w:drawing>
          <wp:inline xmlns:a="http://schemas.openxmlformats.org/drawingml/2006/main" xmlns:pic="http://schemas.openxmlformats.org/drawingml/2006/picture">
            <wp:extent cx="3291839" cy="2116182"/>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 关键连续性状两两关系矩阵</w:t>
      </w:r>
    </w:p>
    <w:p>
      <w:pPr/>
      <w:r>
        <w:rPr>
          <w:rFonts w:ascii="Times New Roman" w:hAnsi="Times New Roman" w:eastAsia="Microsoft YaHei"/>
        </w:rPr>
        <w:t>这一判断的意义在于，若某一季次样本量明显偏少，通常会在跨变量散点分布中表现为点云密度不足、局部结构不稳定或分层边界异常明显；而当前图形更多体现为 `Season_1` 与 `Season_2` 的观测范围彼此交叠，说明不同季次在主要连续性状上的覆盖区间相近。就样本组织而言，这种结果有利于后续开展季次间比较，因为比较基础不至于被极端不均衡的样本分布过度干扰。</w:t>
      </w:r>
    </w:p>
    <w:p>
      <w:pPr/>
      <w:r>
        <w:rPr>
          <w:rFonts w:ascii="Times New Roman" w:hAnsi="Times New Roman" w:eastAsia="Microsoft YaHei"/>
        </w:rPr>
        <w:t>同时也需要注意，当前关于 `Season` 均衡性的依据主要来自图形上的分布重叠，而非逐季频数表或精确计数结果。因此，本节可以较为稳妥地得出“未见明显季次失衡”的结论，但不宜进一步延伸为“两个季次样本数完全相等”或“季次影响可以忽略”。结合现有材料，更合适的表述是：`Season` 层面的样本覆盖总体较协调，至少没有显示出会显著削弱组间可比性的分布偏斜。</w:t>
      </w:r>
    </w:p>
    <w:p>
      <w:pPr>
        <w:pStyle w:val="Heading3"/>
        <w:keepNext/>
      </w:pPr>
      <w:r>
        <w:rPr>
          <w:rFonts w:ascii="Times New Roman" w:hAnsi="Times New Roman" w:eastAsia="Microsoft YaHei"/>
        </w:rPr>
        <w:t>1.3.3 Repetition层面样本均衡性</w:t>
      </w:r>
    </w:p>
    <w:p>
      <w:pPr/>
      <w:r>
        <w:rPr>
          <w:rFonts w:ascii="Times New Roman" w:hAnsi="Times New Roman" w:eastAsia="Microsoft YaHei"/>
        </w:rPr>
        <w:t>`Repetition` 是试验设计中的重复编号，因此其样本覆盖是否均衡，直接关系到不同重复之间比较的可比性。根据当前计数结果，4 个重复组 `Repetition_1` 至 `Repetition_4` 的样本数完全一致，均约为 80，说明重复层面的记录分配高度均衡，没有出现某一重复组明显过多或过少的情况。</w:t>
      </w:r>
    </w:p>
    <w:p>
      <w:pPr>
        <w:spacing w:before="200" w:after="80"/>
        <w:jc w:val="center"/>
      </w:pPr>
      <w:r>
        <w:drawing>
          <wp:inline xmlns:a="http://schemas.openxmlformats.org/drawingml/2006/main" xmlns:pic="http://schemas.openxmlformats.org/drawingml/2006/picture">
            <wp:extent cx="3291839" cy="2116182"/>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 重复组样本数均衡性检验</w:t>
      </w:r>
    </w:p>
    <w:p>
      <w:pPr/>
      <w:r>
        <w:rPr>
          <w:rFonts w:ascii="Times New Roman" w:hAnsi="Times New Roman" w:eastAsia="Microsoft YaHei"/>
        </w:rPr>
        <w:t>这一结果与原始样本预览中呈现的局部结构相互吻合：同一 `Season`、同一 `Cultivar` 下，`Repetition` 按 1 至 4 依次出现，切换到新的 `Cultivar` 后又从 1 重新开始。结合当前总样本量为 320 条，可以看出数据在重复编号上的覆盖方式较为规整，重复并非零散附加的信息，而是被系统性地纳入了整体试验记录之中。</w:t>
      </w:r>
    </w:p>
    <w:p>
      <w:pPr/>
      <w:r>
        <w:rPr>
          <w:rFonts w:ascii="Times New Roman" w:hAnsi="Times New Roman" w:eastAsia="Microsoft YaHei"/>
        </w:rPr>
        <w:t>从分析影响看，重复组样本量一致有两层意义。其一，在比较 `PH`、`IFP`、`NLP`、`NGP`、`NGL`、`NS`、`MHG` 与 `GY` 等连续指标时，不同 `Repetition` 之间不会因为样本基数差异而天然放大或削弱统计波动。其二，在后续结合 `Season` 和 `Cultivar` 开展分层分析时，重复维度能够提供相对稳定的支撑，使得组间差异更可能反映真实观测差别，而不是由样本分配不均带来的结构性偏差。</w:t>
      </w:r>
    </w:p>
    <w:p>
      <w:pPr/>
      <w:r>
        <w:rPr>
          <w:rFonts w:ascii="Times New Roman" w:hAnsi="Times New Roman" w:eastAsia="Microsoft YaHei"/>
        </w:rPr>
        <w:t>基于现有素材，可以较为明确地判断：`Repetition` 层面不存在显著失衡问题，重复编号的覆盖完整且分配对称。这意味着后续若观察到不同重复之间存在指标波动，更适合优先从试验表现本身或与其他分组因素的交互角度解释，而不是简单归因于重复组样本量不一致。</w:t>
      </w:r>
    </w:p>
    <w:p>
      <w:pPr>
        <w:pStyle w:val="Heading3"/>
        <w:keepNext/>
      </w:pPr>
      <w:r>
        <w:rPr>
          <w:rFonts w:ascii="Times New Roman" w:hAnsi="Times New Roman" w:eastAsia="Microsoft YaHei"/>
        </w:rPr>
        <w:t>1.3.4 品种层面样本长尾特征</w:t>
      </w:r>
    </w:p>
    <w:p>
      <w:pPr/>
      <w:r>
        <w:rPr>
          <w:rFonts w:ascii="Times New Roman" w:hAnsi="Times New Roman" w:eastAsia="Microsoft YaHei"/>
        </w:rPr>
        <w:t>在 `Cultivar` 层面，现有素材能够明确确认该字段为文本型品种标识，且原始样本预览已经显示出同一 `Season` 下会依次出现不同品种，并在每个品种内部记录多个 `Repetition`。例如前四条记录均为 `NEO 760 CE`，对应 `Repetition` 1 至 4，第五条则切换为 `MANU IPRO` 的 `Repetition` 1。这说明品种并非零散出现，而是以“同一品种连续记录多个重复”的方式组织，`Cultivar` 是样本分层中的核心类别变量。</w:t>
      </w:r>
    </w:p>
    <w:p>
      <w:pPr/>
      <w:r>
        <w:rPr>
          <w:rFonts w:ascii="Times New Roman" w:hAnsi="Times New Roman" w:eastAsia="Microsoft YaHei"/>
        </w:rPr>
        <w:t>结合总样本量 320 条以及 `Repetition` 层面 4 个重复组均衡分配的事实，可以推断品种频次至少受到重复设计的共同约束。也就是说，某一 `Cultivar` 一旦被纳入试验，通常不会只对应单条孤立记录，而更可能以若干重复观测的形式出现。因此，品种层面的“长尾”更应理解为不同品种在整体样本中的出现次数可能并不完全一致，而不是完全随机、无结构地零散分布。</w:t>
      </w:r>
    </w:p>
    <w:p>
      <w:pPr/>
      <w:r>
        <w:rPr>
          <w:rFonts w:ascii="Times New Roman" w:hAnsi="Times New Roman" w:eastAsia="Microsoft YaHei"/>
        </w:rPr>
        <w:t>不过，就当前可直接使用的素材而言，并没有给出各 `Cultivar` 的频数表、唯一品种数量统计，或头部与尾部品种的明确排序结果。因此，本节不能进一步写出“哪些品种属于高频品种”“哪些品种仅出现少量样本”，也不能给出具体的长尾程度、占比或集中度指标。现阶段更稳妥的判断是：由于 `Cultivar` 为主要类别字段，且数据以“季次—品种—重复”的试验结构组织，后续必须重点检查不同品种的样本计数是否一致，以识别是否存在头部品种样本较多、尾部品种样本较少的频次不均现象。</w:t>
      </w:r>
    </w:p>
    <w:p>
      <w:pPr/>
      <w:r>
        <w:rPr>
          <w:rFonts w:ascii="Times New Roman" w:hAnsi="Times New Roman" w:eastAsia="Microsoft YaHei"/>
        </w:rPr>
        <w:t>从分析影响看，若 `Cultivar` 层面存在明显长尾，一方面会使高频品种的均值、波动范围与相关关系估计更稳定，另一方面也会提升低频品种结论的不确定性。尤其是在比较 `PH`、`IFP`、`NLP`、`NGP`、`NGL`、`NS`、`MHG` 与 `GY` 的品种差异时，尾部品种可能因为样本基数偏小而更容易受单次观测波动影响。基于当前材料，可以将 `Cultivar` 视为最需要进一步做频次核验的分层维度；是否存在显著长尾结构，仍需以后续的品种计数结果作最终确认。</w:t>
      </w:r>
    </w:p>
    <w:p>
      <w:pPr>
        <w:pStyle w:val="Heading1"/>
        <w:keepNext/>
      </w:pPr>
      <w:r>
        <w:rPr>
          <w:rFonts w:ascii="Times New Roman" w:hAnsi="Times New Roman" w:eastAsia="Microsoft YaHei"/>
        </w:rPr>
        <w:t>2 数据预处理</w:t>
      </w:r>
    </w:p>
    <w:p>
      <w:pPr/>
      <w:r>
        <w:rPr>
          <w:rFonts w:ascii="Times New Roman" w:hAnsi="Times New Roman" w:eastAsia="Microsoft YaHei"/>
        </w:rPr>
        <w:t>本章的数据预处理围绕“清洗、编码与建模前整理”展开，目标是将原始试验记录转化为结构统一、字段语义明确、可直接进入后续分析与建模的数值化数据表。处理流程首先从原始数据副本出发，而不是在源表上直接改写，这样可以保证原始记录保留不变，便于回溯每一步转换逻辑及其影响。</w:t>
      </w:r>
    </w:p>
    <w:p>
      <w:pPr/>
      <w:r>
        <w:rPr>
          <w:rFonts w:ascii="Times New Roman" w:hAnsi="Times New Roman" w:eastAsia="Microsoft YaHei"/>
        </w:rPr>
        <w:t>在清洗环节，首先处理的是误入数据体的异常表头行。程序先提取全部字段名并构建列名集合，再逐行检查记录中的非缺失值是否与这些字段名高度一致。这里对缺失型内容采用了统一口径，除常规空值外，也将空字符串以及“na”“n/a”“nan”“null”“none”“-”“unknown”等写法视为缺失样式值。如果一行中的有效取值本质上都是现有字段名，且匹配程度达到设定条件，该行就被判定为重复表头而删除。这样做的意义在于防止表头文本被误识别为真实观测，避免其干扰后续的类型判断、缺失处理与编码结果。</w:t>
      </w:r>
    </w:p>
    <w:p>
      <w:pPr/>
      <w:r>
        <w:rPr>
          <w:rFonts w:ascii="Times New Roman" w:hAnsi="Times New Roman" w:eastAsia="Microsoft YaHei"/>
        </w:rPr>
        <w:t>字段格式统一主要体现在 `Cultivar` 的规范化处理上。程序对该字段先执行字符串化，再去除首尾空格，从而减少同一品种因书写差异被拆分为多个类别的风险。对于以品种为核心的试验数据，这一步尤其必要，因为类别标签一旦不一致，会直接影响频次统计、类别编码和后续模型对品种差异的识别。</w:t>
      </w:r>
    </w:p>
    <w:p>
      <w:pPr/>
      <w:r>
        <w:rPr>
          <w:rFonts w:ascii="Times New Roman" w:hAnsi="Times New Roman" w:eastAsia="Microsoft YaHei"/>
        </w:rPr>
        <w:t>变量类型识别并非完全依赖原始数据类型，而是结合字段内容做进一步判别。`Season` 和 `Repetition` 被直接作为分类变量处理；原本已经是数值类型的字段归入数值变量；其余字段则通过对非空值逐项尝试浮点转换来判断其可解析性。若全部非空值都可转换为数值，则按数值变量处理；若只能部分转换，则视为混合型字段，并最终按分类变量处理。这一规则有助于避免把包含文本标签的列误当作连续变量，也降低了混合内容字段在建模前引入结构性错误的可能。</w:t>
      </w:r>
    </w:p>
    <w:p>
      <w:pPr/>
      <w:r>
        <w:rPr>
          <w:rFonts w:ascii="Times New Roman" w:hAnsi="Times New Roman" w:eastAsia="Microsoft YaHei"/>
        </w:rPr>
        <w:t>针对数值变量，处理流程采用了中位数填补和稳健标准化的组合。中位数填补用于补齐数值字段中的缺失值，使各字段能够形成完整输入；稳健标准化则以中位数和四分位距为基准进行缩放，相比基于均值和标准差的方式，更能减弱极端值对尺度的牵引。处理后的 `PH`、`IFP`、`NLP`、`NGP`、`NGL`、`NS`、`MHG` 和 `GY` 已不再保留原始量纲，而是表现为围绕 0 分布的相对偏离值。示例记录中，这些字段同时出现负值与正值，说明它们已经进入统一尺度下的可比状态。对于后续需要同时使用多个农艺性状进行比较或回归建模的任务而言，这种缩放方式能够让不同量纲的指标处于更可控的数值范围内。</w:t>
      </w:r>
    </w:p>
    <w:p>
      <w:pPr/>
      <w:r>
        <w:rPr>
          <w:rFonts w:ascii="Times New Roman" w:hAnsi="Times New Roman" w:eastAsia="Microsoft YaHei"/>
        </w:rPr>
        <w:t>分类变量的处理则体现为统一转换、缺失填补与独热编码。由于当前分类字段不止一个，流程没有使用标签编码，而是将分类列先转为字符串，再以众数填补缺失类别，随后通过 One-Hot 编码展开为 0/1 哑变量。处理结果显示，`Season` 被拆分为 `Season_1` 和 `Season_2`，`Repetition` 被拆分为 `Repetition_1` 至 `Repetition_4`，`Cultivar` 则扩展为多列具体品种指示变量，如 `Cultivar_NEO 760 CE`、`Cultivar_MANU IPRO`、`Cultivar_NK 8100 IPRO` 等。以样例记录为例，某一行中 `Season_1=1.0`、`Season_2=0.0`，同时仅有对应品种列为 1，其余品种列为 0，`Repetition` 也以同样方式表示。这样处理后，原本难以直接进入模型的文本型分组信息被转换为可计算的结构化特征。</w:t>
      </w:r>
    </w:p>
    <w:p>
      <w:pPr/>
      <w:r>
        <w:rPr>
          <w:rFonts w:ascii="Times New Roman" w:hAnsi="Times New Roman" w:eastAsia="Microsoft YaHei"/>
        </w:rPr>
        <w:t>从结果结构看，预处理后的数据已经形成全数值矩阵，当前结果为 320 条记录、54 个字段。列结构由两部分组成：一部分是完成稳健缩放的连续变量，包括 `PH`、`IFP`、`NLP`、`NGP`、`NGL`、`NS`、`MHG` 和 `GY`；另一部分是由 `Season`、`Cultivar`、`Repetition` 展开的哑变量列。当前字段清单中已不再保留原始文本型类别列，说明编码步骤已经完成，数据表结构也由混合类型转为统一的数值表达。</w:t>
      </w:r>
    </w:p>
    <w:p>
      <w:pPr/>
      <w:r>
        <w:rPr>
          <w:rFonts w:ascii="Times New Roman" w:hAnsi="Times New Roman" w:eastAsia="Microsoft YaHei"/>
        </w:rPr>
        <w:t>需要说明的是，代码逻辑中确实预设了缺失样式识别、数值列中位数填补以及分类列众数填补，但现有素材并未提供原始缺失规模、各字段缺失占比或具体哪些列实际发生了填补。因此，本章可以确认“缺失处理机制已被纳入流程”，但不宜进一步声称“某些字段缺失严重”或“填补对某列影响显著”。同样地，虽然稳健标准化本身具备缓解离群点影响的作用，但现有执行结果并未单独给出异常值剔除、截尾或变换前后分布对比，因此更准确的表述应是：预处理阶段优先采用稳健尺度方法控制极端值对数值范围的影响，而不是断言异常观测已经被单独删除。</w:t>
      </w:r>
    </w:p>
    <w:p>
      <w:pPr/>
      <w:r>
        <w:rPr>
          <w:rFonts w:ascii="Times New Roman" w:hAnsi="Times New Roman" w:eastAsia="Microsoft YaHei"/>
        </w:rPr>
        <w:t>经过上述整理，数据已经从原始试验记录转化为可直接用于后续建模与分析的特征化输入。一方面，异常表头、空白差异和混合类型带来的结构噪声被压缩；另一方面，连续变量与类别变量都被映射到统一的数值框架中。这使得后续无论是开展可视化比较、相关分析，还是围绕 `GY` 进行监督式建模，都可以在同一处理口径下使用一致的数据基础。</w:t>
      </w:r>
    </w:p>
    <w:p>
      <w:pPr>
        <w:pStyle w:val="Heading2"/>
        <w:keepNext/>
      </w:pPr>
      <w:r>
        <w:rPr>
          <w:rFonts w:ascii="Times New Roman" w:hAnsi="Times New Roman" w:eastAsia="Microsoft YaHei"/>
        </w:rPr>
        <w:t>2.1 异常表头识别与字段修正</w:t>
      </w:r>
    </w:p>
    <w:p>
      <w:pPr/>
      <w:r>
        <w:rPr>
          <w:rFonts w:ascii="Times New Roman" w:hAnsi="Times New Roman" w:eastAsia="Microsoft YaHei"/>
        </w:rPr>
        <w:t>本节处理的重点，是先从原始记录中剔除会破坏字段语义的结构性噪声，再对关键字段取值格式进行统一。相较于缺失填补、数值缩放或编码，这一步更接近“表结构层面的纠错”：如果异常表头行混入数据体，或者同一字段存在不一致的文本书写，后续类型识别、类别展开和统计分析都可能建立在错误输入之上，因此需要优先清理。</w:t>
      </w:r>
    </w:p>
    <w:p>
      <w:pPr/>
      <w:r>
        <w:rPr>
          <w:rFonts w:ascii="Times New Roman" w:hAnsi="Times New Roman" w:eastAsia="Microsoft YaHei"/>
        </w:rPr>
        <w:t>预处理流程首先在原始数据副本上执行，而不是直接覆盖源数据。程序先读取全部列名，形成字段名集合，再逐行检查每条记录中的非缺失值是否呈现出“重复表头”的特征。这里对缺失样式值采用了统一判定标准，除了常规空值，也将空字符串以及“na”“n/a”“nan”“null”“none”“-”“unknown”等写法一并视为缺失。这样做的作用，是避免这些占位内容干扰对整行结构的判断，使识别逻辑更集中于真正有效的单元格内容。</w:t>
      </w:r>
    </w:p>
    <w:p>
      <w:pPr/>
      <w:r>
        <w:rPr>
          <w:rFonts w:ascii="Times New Roman" w:hAnsi="Times New Roman" w:eastAsia="Microsoft YaHei"/>
        </w:rPr>
        <w:t>异常表头的判定依据不是单个单元格，而是整行与字段名集合之间的匹配关系。若某一行去除缺失样式值后，其剩余取值全部都能在现有列名中找到对应，并且匹配数量达到设定阈值，该行就会被识别为误入数据区的表头信息并删除。这样的规则适合处理由复制、拼接或多次导出造成的“表头重复插入”问题，因为这类异常行在内容上看似完整，但本质并不代表任何试验观测。将其保留在数据集中，会直接污染字段类型判断，甚至把列名文本误当作类别取值或异常字符串带入后续编码流程。</w:t>
      </w:r>
    </w:p>
    <w:p>
      <w:pPr/>
      <w:r>
        <w:rPr>
          <w:rFonts w:ascii="Times New Roman" w:hAnsi="Times New Roman" w:eastAsia="Microsoft YaHei"/>
        </w:rPr>
        <w:t>在字段修正方面，当前流程中最明确的统一处理发生在 `Cultivar`。程序对该字段先进行字符串化，再执行首尾空格去除。对于品种名称这类文本标识字段，空格差异往往不会改变业务含义，却可能在统计上被识别为不同类别；例如同一名称若一部分记录带有前后空白，另一部分没有，就会在独热编码阶段被拆成多个哑变量列。通过对 `Cultivar` 进行格式统一，可以降低这类伪差异，使品种标签保持一致的类别语义。</w:t>
      </w:r>
    </w:p>
    <w:p>
      <w:pPr/>
      <w:r>
        <w:rPr>
          <w:rFonts w:ascii="Times New Roman" w:hAnsi="Times New Roman" w:eastAsia="Microsoft YaHei"/>
        </w:rPr>
        <w:t>从处理结果看，后续生成的字段名中已经出现了规范化后的品种指示列，如 `Cultivar_NEO 760 CE`、`Cultivar_MANU IPRO`、`Cultivar_BRASMAX BÔNUS IPRO`、`Cultivar_MONSOY M8606I2X` 等，说明 `Cultivar` 已作为统一后的类别字段进入后续编码流程。同时，`Season` 与 `Repetition` 也以 `Season_1`、`Season_2` 以及 `Repetition_1` 至 `Repetition_4` 的形式被展开，表明预处理前的字段语义已经保持稳定，没有因异常表头或名称格式问题而破坏分类结构。处理后的结果表为 320 preview records x 54 columns，说明在完成清理与字段统一后，数据已进入结构明确的可分析状态。</w:t>
      </w:r>
    </w:p>
    <w:p>
      <w:pPr/>
      <w:r>
        <w:rPr>
          <w:rFonts w:ascii="Times New Roman" w:hAnsi="Times New Roman" w:eastAsia="Microsoft YaHei"/>
        </w:rPr>
        <w:t>需要说明的是，现有执行结果能够直接支持的“字段修正”主要体现在异常表头剔除和 `Cultivar` 的文本格式统一上，并未显示存在一套额外的批量重命名清单。因此，本节更准确的理解应是：通过删除误入数据体的表头行、统一关键文本字段的表示方式，先消除了会影响结构识别的噪声，再为后续缺失处理、变量类型判别和特征编码提供一致输入。这样得到的数据表虽然尚未进入完整建模阶段，但字段边界已经清晰，类别标签也更稳定，能够避免许多由原始录入格式不一致引发的连锁偏差。</w:t>
      </w:r>
    </w:p>
    <w:p>
      <w:pPr>
        <w:pStyle w:val="Heading3"/>
        <w:keepNext/>
      </w:pPr>
      <w:r>
        <w:rPr>
          <w:rFonts w:ascii="Times New Roman" w:hAnsi="Times New Roman" w:eastAsia="Microsoft YaHei"/>
        </w:rPr>
        <w:t>2.1.1 异常表头定位规则</w:t>
      </w:r>
    </w:p>
    <w:p>
      <w:pPr/>
      <w:r>
        <w:rPr>
          <w:rFonts w:ascii="Times New Roman" w:hAnsi="Times New Roman" w:eastAsia="Microsoft YaHei"/>
        </w:rPr>
        <w:t>异常表头的定位采用“整行匹配”而不是“单格识别”的思路。预处理程序先读取原始数据副本中的全部列名，转为字符串后形成列名集合，再逐行检查记录内容是否与这一集合高度重合。这样做的核心目的，是识别那些被误插入数据体中的表头行：它们在形式上占据普通记录的位置，但内容本质上仍然是字段名列表，而非真实观测值。</w:t>
      </w:r>
    </w:p>
    <w:p>
      <w:pPr/>
      <w:r>
        <w:rPr>
          <w:rFonts w:ascii="Times New Roman" w:hAnsi="Times New Roman" w:eastAsia="Microsoft YaHei"/>
        </w:rPr>
        <w:t>为避免空白占位符干扰判断，程序先定义了统一的缺失样式规则。除常规空值外，空字符串以及“na”“n/a”“nan”“null”“none”“-”“unknown”等写法都会被视为缺失型内容，在判定时直接跳过。经过这一步后，系统只对一行中真正有效的单元格进行检查，从而减少因为空列、占位文本或导出残留符号导致的误判。</w:t>
      </w:r>
    </w:p>
    <w:p>
      <w:pPr/>
      <w:r>
        <w:rPr>
          <w:rFonts w:ascii="Times New Roman" w:hAnsi="Times New Roman" w:eastAsia="Microsoft YaHei"/>
        </w:rPr>
        <w:t>具体判定时，程序会统计一行中非缺失值的数量，并将这些值去除首尾空格后与列名集合逐一比对。若某行不存在任何非缺失值，则不会被识别为异常表头；只有当该行的全部有效取值都能在现有字段名中找到对应，且匹配数量达到不低于字段总数一半的阈值时，这一行才会被判定为“header-like row”。换言之，规则要求该行既要表现出明显的表头特征，又不能只是零散地碰巧包含少数列名。这样的组合条件比单纯检查“是否出现过列名”更严格，能够更有效地区分真实记录与误入数据区的重复表头。</w:t>
      </w:r>
    </w:p>
    <w:p>
      <w:pPr/>
      <w:r>
        <w:rPr>
          <w:rFonts w:ascii="Times New Roman" w:hAnsi="Times New Roman" w:eastAsia="Microsoft YaHei"/>
        </w:rPr>
        <w:t>这一规则对于识别非标准表头与错位字段尤其重要。复制、拼接或多次导出后的数据表中，重复表头往往不会完整出现在首行，而可能夹杂在样本记录之间，甚至伴随部分缺失单元格。由于当前逻辑允许先剔除缺失样式值，再依据剩余有效值与列名集合的重合度进行判断，因此即使异常行并非完全整齐，也仍有机会被识别出来。相反，真实观测记录通常包含 `PH`、`IFP`、`NLP`、`NGP`、`NGL`、`NS`、`MHG`、`GY`、`Season`、`Cultivar`、`Repetition` 等字段对应的取值，而不会在整行范围内反复出现这些字段名本身，因此与异常表头在内容结构上存在可区分性。</w:t>
      </w:r>
    </w:p>
    <w:p>
      <w:pPr/>
      <w:r>
        <w:rPr>
          <w:rFonts w:ascii="Times New Roman" w:hAnsi="Times New Roman" w:eastAsia="Microsoft YaHei"/>
        </w:rPr>
        <w:t>识别完成后，程序为每一行生成保留标记，并删除被判定为异常表头的记录，再进入后续字段清洗、类型识别和编码步骤。这样可以避免列名文本被误当作类别值或字符串噪声保留下来，减少对 `Season`、`Cultivar`、`Repetition` 等分类字段展开，以及对数值字段类型判断的干扰。对本次预处理结果而言，后续数据已经形成 320 × 54 的结构化数值表，说明表头识别与剔除逻辑已被纳入正式清洗流程，并作为后续整理的前置条件发挥作用。</w:t>
      </w:r>
    </w:p>
    <w:p>
      <w:pPr>
        <w:pStyle w:val="Heading3"/>
        <w:keepNext/>
      </w:pPr>
      <w:r>
        <w:rPr>
          <w:rFonts w:ascii="Times New Roman" w:hAnsi="Times New Roman" w:eastAsia="Microsoft YaHei"/>
        </w:rPr>
        <w:t>2.1.2 字段重命名与格式统一</w:t>
      </w:r>
    </w:p>
    <w:p>
      <w:pPr/>
      <w:r>
        <w:rPr>
          <w:rFonts w:ascii="Times New Roman" w:hAnsi="Times New Roman" w:eastAsia="Microsoft YaHei"/>
        </w:rPr>
        <w:t>在字段名称与取值格式统一方面，当前流程并未对原始列名进行额外改写，而是优先保持已有核心字段名的一致性，后续处理均围绕原字段语义展开。其中，`PH`、`IFP`、`NLP`、`NGP`、`NGL`、`NS`、`MHG`、`GY` 等连续性状字段继续以原名保留，`Season`、`Cultivar`、`Repetition` 作为分组或类别字段进入后续识别与转换流程。这种做法的重点不在于人为重命名，而在于避免同一业务含义在不同环节出现多套命名口径，从而保证清洗、编码和建模阶段引用的是同一套字段体系。</w:t>
      </w:r>
    </w:p>
    <w:p>
      <w:pPr/>
      <w:r>
        <w:rPr>
          <w:rFonts w:ascii="Times New Roman" w:hAnsi="Times New Roman" w:eastAsia="Microsoft YaHei"/>
        </w:rPr>
        <w:t>取值格式统一中，最明确的文本清洗发生在 `Cultivar` 字段。程序先将该列整体转换为字符串，再执行首尾空格去除。对于品种名称这类类别标签，前后空白通常不改变业务含义，但会直接影响类别识别结果；若不处理，同一品种可能因书写习惯差异被拆分为多个类别。将 `Cultivar` 统一为去空格后的字符串后，品种标签的边界更加清晰，也减少了后续独热编码时生成冗余哑变量列的风险。</w:t>
      </w:r>
    </w:p>
    <w:p>
      <w:pPr/>
      <w:r>
        <w:rPr>
          <w:rFonts w:ascii="Times New Roman" w:hAnsi="Times New Roman" w:eastAsia="Microsoft YaHei"/>
        </w:rPr>
        <w:t>字段类型的统一识别同样属于本节的核心内容。流程中首先将 `Season` 和 `Repetition` 明确指定为分类变量，而不是依据其数值外观直接当作连续变量处理。这一点对于试验数据尤其重要，因为这两个字段虽然可能表现为数字形式，但本质上代表季次分组和重复编号，若误判为连续变量，会把组别关系错误地解释为数值大小规律。与此同时，数据类型本身已属于数值类别的字段被直接归入数值变量集合；其余字段则通过逐项尝试浮点转换来判断可解析程度。</w:t>
      </w:r>
    </w:p>
    <w:p>
      <w:pPr/>
      <w:r>
        <w:rPr>
          <w:rFonts w:ascii="Times New Roman" w:hAnsi="Times New Roman" w:eastAsia="Microsoft YaHei"/>
        </w:rPr>
        <w:t>对于非显式数值字段，程序采用“可否完整数值化”的标准统一类型口径：若某列全部非空值都可以转换为浮点数，则按数值变量处理；若只能部分转换，则该列被识别为混合型字段，并最终并入分类变量处理。这样的规则本质上是在统一“字段含义”与“存储形式”之间的关系，避免把夹杂文本标签的列错误纳入连续变量分析，也避免因局部可转数值而掩盖字段内部语义不一致的问题。</w:t>
      </w:r>
    </w:p>
    <w:p>
      <w:pPr/>
      <w:r>
        <w:rPr>
          <w:rFonts w:ascii="Times New Roman" w:hAnsi="Times New Roman" w:eastAsia="Microsoft YaHei"/>
        </w:rPr>
        <w:t>从处理结果可以看到，这种统一最终反映在输出字段结构上。预处理后的结果为 320 行、54 列，已经从原始的混合字段表转化为全数值矩阵。原始连续字段仍保留为 `PH`、`IFP`、`NLP`、`NGP`、`NGL`、`NS`、`MHG`、`GY` 等列，而原本的分类字段则被规范地展开为具有统一前缀的编码列，如 `Season_1`、`Season_2`，`Repetition_1` 至 `Repetition_4`，以及一系列 `Cultivar_...` 品种指示列，例如 `Cultivar_NEO 760 CE`、`Cultivar_MANU IPRO`、`Cultivar_MONSOY M8606I2X` 等。可以看出，编码后的命名直接保留了来源字段名与具体类别值之间的对应关系，使每一列的语义可追溯性较强。</w:t>
      </w:r>
    </w:p>
    <w:p>
      <w:pPr/>
      <w:r>
        <w:rPr>
          <w:rFonts w:ascii="Times New Roman" w:hAnsi="Times New Roman" w:eastAsia="Microsoft YaHei"/>
        </w:rPr>
        <w:t>这种字段格式统一的意义在于，它不仅清除了 `Cultivar` 这类文本标签中的书写噪声，也把变量名称、字段类型和输出列格式统一到同一分析口径之下。经过这一阶段后，数据表中的每一列都具有更稳定的语义边界：连续变量能够按数值方式比较，分组变量能够按类别方式展开，品种名称不会因空格差异造成重复类别。后续无论进行缺失值处理、异常值分析还是模型训练，所使用的字段定义都更明确，输入结构也更加规整。</w:t>
      </w:r>
    </w:p>
    <w:p>
      <w:pPr>
        <w:pStyle w:val="Heading2"/>
        <w:keepNext/>
      </w:pPr>
      <w:r>
        <w:rPr>
          <w:rFonts w:ascii="Times New Roman" w:hAnsi="Times New Roman" w:eastAsia="Microsoft YaHei"/>
        </w:rPr>
        <w:t>2.2 缺失值检查与处理</w:t>
      </w:r>
    </w:p>
    <w:p>
      <w:pPr/>
      <w:r>
        <w:rPr>
          <w:rFonts w:ascii="Times New Roman" w:hAnsi="Times New Roman" w:eastAsia="Microsoft YaHei"/>
        </w:rPr>
        <w:t>本节关注预处理流程中的缺失值识别口径及其填补方式。现有代码并未单独输出各字段缺失率统计表，因此无法据此量化原始数据中缺失值的具体规模与分布强弱；但从执行逻辑可以确认，流程已经对多种缺失形态进行了统一纳入，并分别针对数值变量与分类变量设计了差异化处理规则。除了常规的 `None` 和 `NaN` 外，空字符串以及“na”“n/a”“nan”“null”“none”“-”“unknown”等文本形式都被视为缺失型内容。这一设定避免了缺失仅以“空白单元格”被识别的局限，也减少了人工录入、系统导出或多源拼接时不同占位写法造成的口径不一致。</w:t>
      </w:r>
    </w:p>
    <w:p>
      <w:pPr/>
      <w:r>
        <w:rPr>
          <w:rFonts w:ascii="Times New Roman" w:hAnsi="Times New Roman" w:eastAsia="Microsoft YaHei"/>
        </w:rPr>
        <w:t>缺失检查首先体现在异常表头识别阶段。程序在逐行判断是否为误插入数据体的表头时，会先跳过上述缺失样式值，仅依据一行中真正有效的单元格与列名集合的重合程度进行判定。这里的重点不在于直接填补，而在于避免将缺失占位符误当作正常内容参与结构识别。这样处理后，重复表头行的识别更依赖有效文本特征，而不会因为夹杂空字符串或“unknown”之类占位内容而被错误保留。</w:t>
      </w:r>
    </w:p>
    <w:p>
      <w:pPr/>
      <w:r>
        <w:rPr>
          <w:rFonts w:ascii="Times New Roman" w:hAnsi="Times New Roman" w:eastAsia="Microsoft YaHei"/>
        </w:rPr>
        <w:t>进入字段级处理后，缺失值的应对开始与变量类型绑定。流程先完成字段识别，将 `Season`、`Repetition` 直接归为分类变量，`PH`、`IFP`、`NLP`、`NGP`、`NGL`、`NS`、`MHG`、`GY` 等连续字段归入数值变量集合；其余字段则依据能否完整转换为浮点数判断属于数值型还是混合型。这样的前置分类很关键，因为缺失填补方法依赖变量语义：如果将分组编号误作连续变量，或者把混合文本字段错误当成数值列，后续填补就会偏离数据本身的含义。</w:t>
      </w:r>
    </w:p>
    <w:p>
      <w:pPr/>
      <w:r>
        <w:rPr>
          <w:rFonts w:ascii="Times New Roman" w:hAnsi="Times New Roman" w:eastAsia="Microsoft YaHei"/>
        </w:rPr>
        <w:t>对数值变量，处理流程采用中位数填补。该策略意味着每个数值字段在进入后续缩放与建模前，都被补齐为完整输入，不因个别缺失记录而中断矩阵构建。相比均值，中位数对极端高值或低值更不敏感，更适合当前这类农艺性状与产量指标并存、且后续又专门采用稳健缩放的处理框架。尤其是 `PH`、`IFP`、`NLP`、`NGP`、`NGL`、`NS`、`MHG`、`GY` 等字段若存在零散缺失，中位数填补能够在尽量不放大异常观测影响的前提下保留样本量。结合处理结果中这些字段已经全部表现为连续数值且前几行未见空缺，可以判断数值特征在输出阶段已具备完整性。</w:t>
      </w:r>
    </w:p>
    <w:p>
      <w:pPr/>
      <w:r>
        <w:rPr>
          <w:rFonts w:ascii="Times New Roman" w:hAnsi="Times New Roman" w:eastAsia="Microsoft YaHei"/>
        </w:rPr>
        <w:t>对分类变量，流程采用众数填补后再执行编码。代码逻辑表明，分类字段会先统一转为字符串，再用最常见类别替代缺失项，随后进入独热编码。这样处理的直接好处是，`Season`、`Cultivar`、`Repetition` 这类字段不会因为少量缺失而在编码阶段产生空类别或报错，也能保证每条记录在分类特征空间中都有明确归属。从结果列看，处理后的数据已生成 `Season_1`、`Season_2`、多组 `Cultivar_...` 哑变量以及 `Repetition_1` 至 `Repetition_4`，且展示样本中均为确定的 0/1 取值，这说明分类缺失在编码前已被吸收进统一的填补流程中。</w:t>
      </w:r>
    </w:p>
    <w:p>
      <w:pPr/>
      <w:r>
        <w:rPr>
          <w:rFonts w:ascii="Times New Roman" w:hAnsi="Times New Roman" w:eastAsia="Microsoft YaHei"/>
        </w:rPr>
        <w:t>需要说明的是，当前素材只能确认“存在统一缺失识别规则”和“已实施中位数、众数填补”，但不能进一步证明原始数据中哪些字段缺失最集中，也不能判断缺失是随机分布还是集中于某些季次、品种或重复层级。因此，本节关于缺失模式的结论应保持在方法层面：预处理流程已将显式空值与常见文本占位符一并纳入缺失范畴，并依据字段类型实施了稳健、可执行的填补方案。最终输出为 320 × 54 的全数值特征矩阵，示例记录中未再出现缺失项，说明缺失处理已经完成，并与后续标准化和独热编码流程形成了连续衔接。</w:t>
      </w:r>
    </w:p>
    <w:p>
      <w:pPr>
        <w:pStyle w:val="Heading3"/>
        <w:keepNext/>
      </w:pPr>
      <w:r>
        <w:rPr>
          <w:rFonts w:ascii="Times New Roman" w:hAnsi="Times New Roman" w:eastAsia="Microsoft YaHei"/>
        </w:rPr>
        <w:t>2.2.1 缺失概况与变量影响</w:t>
      </w:r>
    </w:p>
    <w:p>
      <w:pPr/>
      <w:r>
        <w:rPr>
          <w:rFonts w:ascii="Times New Roman" w:hAnsi="Times New Roman" w:eastAsia="Microsoft YaHei"/>
        </w:rPr>
        <w:t>从现有预处理代码可以确认，缺失值识别并不局限于传统的 `None` 或 `NaN`，而是采用了更宽口径的缺失判定方式。除真正的空值外，空字符串以及 `na`、`n/a`、`nan`、`null`、`none`、`-`、`unknown` 等文本占位也被统一视为缺失。这意味着原始数据中即使存在多源录入或人工填写造成的缺失表达不一致，流程也会按同一规则纳入处理，减少“表面非空、实际缺失”的记录漏检风险。</w:t>
      </w:r>
    </w:p>
    <w:p>
      <w:pPr/>
      <w:r>
        <w:rPr>
          <w:rFonts w:ascii="Times New Roman" w:hAnsi="Times New Roman" w:eastAsia="Microsoft YaHei"/>
        </w:rPr>
        <w:t>不过，当前执行结果并未提供字段级缺失率统计表，也没有单独输出各变量缺失数量，因此本节无法进一步量化究竟是 `PH`、`IFP`、`NLP`、`NGP`、`NGL`、`NS`、`MHG`、`GY`，还是 `Season`、`Cultivar`、`Repetition` 中的某些字段存在更高的缺失集中现象。能够明确的是，流程已经预设缺失可能同时出现在连续性状字段和分组字段中，并在后续处理中按照变量类型分别应对，而不是将所有缺失按单一规则统一替代。</w:t>
      </w:r>
    </w:p>
    <w:p>
      <w:pPr/>
      <w:r>
        <w:rPr>
          <w:rFonts w:ascii="Times New Roman" w:hAnsi="Times New Roman" w:eastAsia="Microsoft YaHei"/>
        </w:rPr>
        <w:t>缺失对分析的影响首先体现在结构识别层面。程序在识别误插入数据体的重复表头行时，会先跳过缺失样式值，只依据非缺失单元格与列名集合的匹配情况进行判断。这样做避免了空白项或 `unknown` 之类占位文本干扰异常表头识别，防止结构性噪声被保留为正常观测。如果这一步缺失口径不统一，异常表头可能混入样本集合，后续类型识别、编码和建模都会受到连带影响。</w:t>
      </w:r>
    </w:p>
    <w:p>
      <w:pPr/>
      <w:r>
        <w:rPr>
          <w:rFonts w:ascii="Times New Roman" w:hAnsi="Times New Roman" w:eastAsia="Microsoft YaHei"/>
        </w:rPr>
        <w:t>进一步看，缺失风险与变量语义直接相关。`Season` 和 `Repetition` 被明确视为分类变量，`Cultivar` 经过字符串化与去空格处理后也进入分类处理路径；而 `PH`、`IFP`、`NLP`、`NGP`、`NGL`、`NS`、`MHG`、`GY` 等字段作为连续变量参与数值处理。若缺失出现在分类字段中，风险主要是组别信息不完整，可能削弱季次、重复或品种层面的比较能力；若缺失出现在数值字段中，则会直接影响性状分布判断、变量间关联分析以及以 `GY` 为目标的建模输入完整性。尤其是 `GY` 若存在缺失，其影响不仅限于单列信息损失，还会直接限制监督学习样本的可用范围。</w:t>
      </w:r>
    </w:p>
    <w:p>
      <w:pPr/>
      <w:r>
        <w:rPr>
          <w:rFonts w:ascii="Times New Roman" w:hAnsi="Times New Roman" w:eastAsia="Microsoft YaHei"/>
        </w:rPr>
        <w:t>从处理后的结果看，当前数据已形成 320 × 54 的数值化特征矩阵，预览记录中未再出现缺失值。这说明缺失问题在进入编码与缩放后的输出表中已被消化，后续分析面对的是完整输入矩阵而非含缺口数据。与此同时，也应注意这种“结果层面的完整”并不等同于“原始数据没有缺失”。由于缺失值已被填补，后续若观察到某些变量分布更集中、类别更偏向高频标签，需意识到其中可能包含填补策略带来的收缩效应，而不能简单等同于原始观测本身的自然分布。</w:t>
      </w:r>
    </w:p>
    <w:p>
      <w:pPr>
        <w:pStyle w:val="Heading3"/>
        <w:keepNext/>
      </w:pPr>
      <w:r>
        <w:rPr>
          <w:rFonts w:ascii="Times New Roman" w:hAnsi="Times New Roman" w:eastAsia="Microsoft YaHei"/>
        </w:rPr>
        <w:t>2.2.2 分类型变量缺失处理</w:t>
      </w:r>
    </w:p>
    <w:p>
      <w:pPr/>
      <w:r>
        <w:rPr>
          <w:rFonts w:ascii="Times New Roman" w:hAnsi="Times New Roman" w:eastAsia="Microsoft YaHei"/>
        </w:rPr>
        <w:t>分类型变量的缺失处理主要针对 `Season`、`Repetition` 和 `Cultivar` 这类承担分组与标识作用的字段展开。与数值变量不同，这些字段一旦缺失，损失的不是连续测量值，而是样本所属的季次、重复或品种身份信息。如果直接删除相关记录，会进一步压缩本就带有分层结构的试验样本；如果用数值方式插补，又会破坏类别变量原有的语义边界。因此，预处理流程先将这类字段明确纳入分类处理路径，再采用分类变量专用的填补方案。</w:t>
      </w:r>
    </w:p>
    <w:p>
      <w:pPr/>
      <w:r>
        <w:rPr>
          <w:rFonts w:ascii="Times New Roman" w:hAnsi="Times New Roman" w:eastAsia="Microsoft YaHei"/>
        </w:rPr>
        <w:t>从执行逻辑看，程序对分类字段的缺失识别沿用了统一口径。除了真正的 `None` 和 `NaN`，空字符串以及 `na`、`n/a`、`nan`、`null`、`none`、`-`、`unknown` 等文本占位也会被视为缺失。这一点对 `Cultivar` 尤其重要，因为品种名称通常来自人工录入或多源表格汇总，缺失很可能以看似“有内容”的文本形式出现。与此同时，代码先对 `Cultivar` 做字符串化和首尾空格清理，减少同一类别因书写差异被拆分成多个标签的风险，使后续缺失填补建立在更一致的类别集合之上。</w:t>
      </w:r>
    </w:p>
    <w:p>
      <w:pPr/>
      <w:r>
        <w:rPr>
          <w:rFonts w:ascii="Times New Roman" w:hAnsi="Times New Roman" w:eastAsia="Microsoft YaHei"/>
        </w:rPr>
        <w:t>在字段识别阶段，`Season` 和 `Repetition` 被直接指定为分类变量；其余不能完整数值化的字段也会并入分类处理集合。随后，分类变量统一转为字符串，并以众数进行缺失填补。也就是说，当某一分类字段存在缺失时，系统使用该字段中出现频率最高的现有类别进行替代，而不是构造新的“缺失类”标签。这种做法的优点在于可以保持编码空间稳定，避免因少量缺失额外引入稀疏类别，尤其适合后续要进行独热编码的场景。</w:t>
      </w:r>
    </w:p>
    <w:p>
      <w:pPr/>
      <w:r>
        <w:rPr>
          <w:rFonts w:ascii="Times New Roman" w:hAnsi="Times New Roman" w:eastAsia="Microsoft YaHei"/>
        </w:rPr>
        <w:t>对本数据而言，这一策略直接作用于品种或分组字段缺失的可建模性。若 `Season` 或 `Repetition` 出现缺失，经众数填补后，样本仍可保留在对应分组分析和模型训练流程中；若 `Cultivar` 出现缺失，也会先被补齐为最常见类别，再进入编码步骤。虽然当前输出结果没有提供填补前后的缺失计数，无法量化究竟哪些字段实际发生了多少次众数替代，但从预处理后的列结构可以确认，分类变量已经成功转化为完整的哑变量矩阵，包括 `Season_1`、`Season_2`、`Repetition_1` 至 `Repetition_4`，以及一系列 `Cultivar_` 开头的品种指示列。这说明分类字段在进入编码阶段前已被处理为可用状态，否则独热编码后通常会保留明显的缺失痕迹或产生额外异常类别。</w:t>
      </w:r>
    </w:p>
    <w:p>
      <w:pPr/>
      <w:r>
        <w:rPr>
          <w:rFonts w:ascii="Times New Roman" w:hAnsi="Times New Roman" w:eastAsia="Microsoft YaHei"/>
        </w:rPr>
        <w:t>需要注意的是，众数填补的含义是用样本中最常见的类别维持数据完整性，而不是恢复缺失样本的真实分组身份。对于 `Season` 和 `Repetition` 这类试验设计字段，这种处理有助于保证矩阵完整，但也可能在缺失较多时弱化原始分层差异；对于 `Cultivar`，若缺失并非偶发而是集中出现在特定记录中，则众数替代会把部分未知品种并入头部品种类别。现有素材不足以判断这类风险是否显著，因此本节只能确认处理机制本身，而不能延伸得出缺失偏向某一品种或某一分组的结论。</w:t>
      </w:r>
    </w:p>
    <w:p>
      <w:pPr/>
      <w:r>
        <w:rPr>
          <w:rFonts w:ascii="Times New Roman" w:hAnsi="Times New Roman" w:eastAsia="Microsoft YaHei"/>
        </w:rPr>
        <w:t>从预处理目标看，分类型变量的缺失处理核心不是估计一个“接近真实数值”的替代量，而是在尽量保留样本的前提下，保证类别字段能够顺利完成编码，并为后续分组比较和建模提供一致输入。结合最终结果中各类 `Season`、`Cultivar` 和 `Repetition` 哑变量列已正常生成，可以认为该流程已经将分类型缺失控制在了可继续分析的范围内。</w:t>
      </w:r>
    </w:p>
    <w:p>
      <w:pPr>
        <w:pStyle w:val="Heading3"/>
        <w:keepNext/>
      </w:pPr>
      <w:r>
        <w:rPr>
          <w:rFonts w:ascii="Times New Roman" w:hAnsi="Times New Roman" w:eastAsia="Microsoft YaHei"/>
        </w:rPr>
        <w:t>2.2.3 数值型性状缺失处理</w:t>
      </w:r>
    </w:p>
    <w:p>
      <w:pPr/>
      <w:r>
        <w:rPr>
          <w:rFonts w:ascii="Times New Roman" w:hAnsi="Times New Roman" w:eastAsia="Microsoft YaHei"/>
        </w:rPr>
        <w:t>数值型字段的缺失处理主要面向连续农艺性状及产量相关变量展开。结合预处理执行结果，可以明确进入这一处理路径的字段包括 `PH`、`IFP`、`NLP`、`NGP`、`NGL`、`NS`、`MHG` 和 `GY`。这些变量都承担连续测量信息，若直接删除含缺失的样本，不仅会压缩可用观测数量，也会削弱后续对性状差异与产量关系的刻画，因此流程采用填补而非删行的方式保持样本完整性。</w:t>
      </w:r>
    </w:p>
    <w:p>
      <w:pPr/>
      <w:r>
        <w:rPr>
          <w:rFonts w:ascii="Times New Roman" w:hAnsi="Times New Roman" w:eastAsia="Microsoft YaHei"/>
        </w:rPr>
        <w:t>在缺失识别口径上，数值字段并非只检查传统意义上的 `None` 或 `NaN`。从代码逻辑可知，空字符串以及 `na`、`n/a`、`nan`、`null`、`none`、`-`、`unknown` 等文本占位同样被纳入缺失判定范围。这一点对多来源田间记录尤为重要，因为连续性状在人工录入、表格拼接或导出转换过程中，常会以非标准文本形式表达空缺。统一识别后，程序能够避免把这些“伪有效值”继续保留在数值列中，从而减少后续缩放和建模中的噪声。</w:t>
      </w:r>
    </w:p>
    <w:p>
      <w:pPr/>
      <w:r>
        <w:rPr>
          <w:rFonts w:ascii="Times New Roman" w:hAnsi="Times New Roman" w:eastAsia="Microsoft YaHei"/>
        </w:rPr>
        <w:t>具体填补策略采用中位数，而不是均值或直接常数替代。中位数的优势在于对极端高值或低值不敏感，更适合当前这类农艺性状与 `GY` 并存的数据结构。由于后续流程还对数值变量实施了稳健缩放，使用中位数填补与这一缩放基准保持一致，能够使缺失处理与尺度变换在统计口径上更协调。这样做的实际效果是：每个连续字段在进入标准化和建模前都被补齐，避免因局部缺失导致样本无法参与矩阵运算。</w:t>
      </w:r>
    </w:p>
    <w:p>
      <w:pPr/>
      <w:r>
        <w:rPr>
          <w:rFonts w:ascii="Times New Roman" w:hAnsi="Times New Roman" w:eastAsia="Microsoft YaHei"/>
        </w:rPr>
        <w:t>从处理后的结果也可以侧面验证这一流程已经完成。当前数值列仍保留为 `PH`、`IFP`、`NLP`、`NGP`、`NGL`、`NS`、`MHG`、`GY`，说明这些字段没有因为缺失或类型异常被剔除；同时，展示样本中这些变量均已呈现为连续数值，且取值围绕 0 分布，反映它们已经历了“先填补、再稳健缩放”的连续处理链路。也就是说，缺失值并未阻断数值性状进入后续分析，而是被统一纳入了可计算的特征空间。</w:t>
      </w:r>
    </w:p>
    <w:p>
      <w:pPr/>
      <w:r>
        <w:rPr>
          <w:rFonts w:ascii="Times New Roman" w:hAnsi="Times New Roman" w:eastAsia="Microsoft YaHei"/>
        </w:rPr>
        <w:t>需要说明的是，现有执行结果没有给出字段级缺失率、缺失个数或各变量的填补前后对比，因此本节不能进一步量化究竟是 `PH`、`NLP` 还是 `GY` 的缺失更集中，也无法判断某一字段是否发生了较大比例的中位数替代。能够确认的是，流程已经为这些关键连续变量预留了明确的缺失处理机制，并确保它们最终以完整数值形式保留在结果表中。对于以 `GY` 为目标、同时结合多项农艺性状开展后续分析的任务而言，这种处理方式既维持了样本利用率，也降低了异常值与非标准缺失表达对连续变量分析质量的干扰。</w:t>
      </w:r>
    </w:p>
    <w:p>
      <w:pPr>
        <w:pStyle w:val="Heading2"/>
        <w:keepNext/>
      </w:pPr>
      <w:r>
        <w:rPr>
          <w:rFonts w:ascii="Times New Roman" w:hAnsi="Times New Roman" w:eastAsia="Microsoft YaHei"/>
        </w:rPr>
        <w:t>2.3 异常值与分布偏态处理</w:t>
      </w:r>
    </w:p>
    <w:p>
      <w:pPr/>
      <w:r>
        <w:rPr>
          <w:rFonts w:ascii="Times New Roman" w:hAnsi="Times New Roman" w:eastAsia="Microsoft YaHei"/>
        </w:rPr>
        <w:t>从预处理执行结果看，本阶段并未采用简单删行或单独截尾的方式应对极端观测，而是围绕连续变量的偏态分布和少量高值离群点，使用更稳健的统计口径进行控制。数值字段 `PH`、`IFP`、`NLP`、`NGP`、`NGL`、`NS`、`MHG`、`GY` 在进入建模前统一经历了中位数填补与稳健缩放处理，使异常高值对中心位置和尺度估计的干扰被压低。处理后的样例中，这些变量均围绕 0 分布，说明数据已从原始量纲转化为相对中位水平的偏离度表达，更适合在存在偏态与离群值的条件下开展后续比较。</w:t>
      </w:r>
    </w:p>
    <w:p>
      <w:pPr/>
      <w:r>
        <w:rPr>
          <w:rFonts w:ascii="Times New Roman" w:hAnsi="Times New Roman" w:eastAsia="Microsoft YaHei"/>
        </w:rPr>
        <w:t>各指标的分布形态也支持采用稳健处理路径。`NLP` 呈明显右偏，大多数样本集中在中低波动区间，但右侧长尾清晰，且伴随少量高值离群点，说明少数样本会显著抬高该指标水平；若直接依赖均值和标准差刻画整体特征，容易放大这些极端观测的影响。</w:t>
      </w:r>
    </w:p>
    <w:p>
      <w:pPr>
        <w:spacing w:before="200" w:after="80"/>
        <w:jc w:val="center"/>
      </w:pPr>
      <w:r>
        <w:drawing>
          <wp:inline xmlns:a="http://schemas.openxmlformats.org/drawingml/2006/main" xmlns:pic="http://schemas.openxmlformats.org/drawingml/2006/picture">
            <wp:extent cx="3291839" cy="2116182"/>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 nlp分布特征及离群值表现</w:t>
      </w:r>
    </w:p>
    <w:p>
      <w:pPr/>
      <w:r>
        <w:rPr>
          <w:rFonts w:ascii="Times New Roman" w:hAnsi="Times New Roman" w:eastAsia="Microsoft YaHei"/>
        </w:rPr>
        <w:t>相比之下，`PH` 的主体形态更接近单峰分布，样本主要集中在 0 附近，整体稳定性相对更好，但仍可见轻微右偏与少量高值离群点。这意味着 `PH` 虽不属于强烈长尾变量，仍存在部分偏高观测需要谨慎对待，尤其在不同 `Season`、`Cultivar` 与 `Repetition` 的组合下，这些高值可能来自真实差异，也可能反映局部记录异常。</w:t>
      </w:r>
    </w:p>
    <w:p>
      <w:pPr>
        <w:spacing w:before="200" w:after="80"/>
        <w:jc w:val="center"/>
      </w:pPr>
      <w:r>
        <w:drawing>
          <wp:inline xmlns:a="http://schemas.openxmlformats.org/drawingml/2006/main" xmlns:pic="http://schemas.openxmlformats.org/drawingml/2006/picture">
            <wp:extent cx="3291839" cy="2116182"/>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 ph分布特征及离群值分析</w:t>
      </w:r>
    </w:p>
    <w:p>
      <w:pPr/>
      <w:r>
        <w:rPr>
          <w:rFonts w:ascii="Times New Roman" w:hAnsi="Times New Roman" w:eastAsia="Microsoft YaHei"/>
        </w:rPr>
        <w:t>`NGP` 是本阶段偏态特征最突出的变量之一。分布图显示其数值大多密集在 0 附近，主体范围较窄，但整体明显右偏，只有少数样本延伸到较高区间，说明总体以较低水平为主，而样本间差异主要由右尾少数高值拉开。 另一幅分布图进一步表明，`NGP` 的右尾不仅存在，而且伴随少量显著高于常规范围的离群点，这类观测如果不加控制，容易在建模时造成局部拟合被高值样本牵引。</w:t>
      </w:r>
    </w:p>
    <w:p>
      <w:pPr>
        <w:spacing w:before="200" w:after="80"/>
        <w:jc w:val="center"/>
      </w:pPr>
      <w:r>
        <w:drawing>
          <wp:inline xmlns:a="http://schemas.openxmlformats.org/drawingml/2006/main" xmlns:pic="http://schemas.openxmlformats.org/drawingml/2006/picture">
            <wp:extent cx="3291839" cy="2116182"/>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图5 ngp分布特征及离群值</w:t>
      </w:r>
    </w:p>
    <w:p>
      <w:pPr/>
      <w:r>
        <w:rPr>
          <w:rFonts w:ascii="Times New Roman" w:hAnsi="Times New Roman" w:eastAsia="Microsoft YaHei"/>
        </w:rPr>
        <w:t>箱线图对 `NGP` 的异常结构给出了更直接的证据。其主体数据多集中在较居中的区间，中位数接近 0，但右侧离群点数量相对突出，说明极端偏高并非普遍现象，却足以改变变量的离散程度与分布对称性。因此，本阶段不宜将这类观测简单视为错误值全部剔除，而是更适合通过稳健缩放降低其尺度影响，同时保留其潜在业务信息。</w:t>
      </w:r>
    </w:p>
    <w:p>
      <w:pPr>
        <w:spacing w:before="200" w:after="80"/>
        <w:jc w:val="center"/>
      </w:pPr>
      <w:r>
        <w:drawing>
          <wp:inline xmlns:a="http://schemas.openxmlformats.org/drawingml/2006/main" xmlns:pic="http://schemas.openxmlformats.org/drawingml/2006/picture">
            <wp:extent cx="3291839" cy="2116182"/>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图6 ngp分布特征及离群值</w:t>
      </w:r>
    </w:p>
    <w:p>
      <w:pPr/>
      <w:r>
        <w:rPr>
          <w:rFonts w:ascii="Times New Roman" w:hAnsi="Times New Roman" w:eastAsia="Microsoft YaHei"/>
        </w:rPr>
        <w:t>类似的模式也出现在 `NGL` 和 `NS` 上。`NGL` 的分布明显不均衡，样本主要密集在较低水平，右侧长尾和少量高值离群点共同表明，不同样本之间的差异很大程度上由少数极端高值拉开；如果只用均值概括，很容易高估整体水平。 `NS` 虽然大多数样本同样集中在 0 附近、常见水平较稳定，但分布仍略向右偏，且箱线结构提示存在少量显著偏高样本，说明该指标也不完全满足对称分布假设。</w:t>
      </w:r>
    </w:p>
    <w:p>
      <w:pPr>
        <w:spacing w:before="200" w:after="80"/>
        <w:jc w:val="center"/>
      </w:pPr>
      <w:r>
        <w:drawing>
          <wp:inline xmlns:a="http://schemas.openxmlformats.org/drawingml/2006/main" xmlns:pic="http://schemas.openxmlformats.org/drawingml/2006/picture">
            <wp:extent cx="3291839" cy="2116182"/>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图7 ngl分布特征及离群值表现</w:t>
      </w:r>
    </w:p>
    <w:p>
      <w:pPr/>
      <w:r>
        <w:rPr>
          <w:rFonts w:ascii="Times New Roman" w:hAnsi="Times New Roman" w:eastAsia="Microsoft YaHei"/>
        </w:rPr>
        <w:t>在这种数据条件下，采用中位数填补和基于四分位距的稳健缩放具有直接针对性。中位数不易被高值离群点牵动，适合为存在右偏的连续变量提供更稳定的中心估计；稳健缩放则以中位数和四分位距替代均值与标准差，使 `NLP`、`NGP`、`NGL`、`NS` 以及轻度偏态的 `PH` 在保留相对排序信息的同时，减少极端观测对量纲扩张的影响。这样处理后，少量异常高值不会主导整体特征空间，但其作为潜在优良表现或异常记录的识别线索仍被保留下来。</w:t>
      </w:r>
    </w:p>
    <w:p>
      <w:pPr/>
      <w:r>
        <w:rPr>
          <w:rFonts w:ascii="Times New Roman" w:hAnsi="Times New Roman" w:eastAsia="Microsoft YaHei"/>
        </w:rPr>
        <w:t>因此，本阶段对异常值与分布偏态的处理重点，不是消除所有偏离常态的观测，而是控制其对统计刻画和后续模型训练的干扰。对于本数据中多项连续性状普遍存在的右偏和高值长尾，这一策略既符合图形所展示的分布事实，也与后续需要兼顾真实试验差异和建模稳定性的目标保持一致。</w:t>
      </w:r>
    </w:p>
    <w:p>
      <w:pPr>
        <w:pStyle w:val="Heading3"/>
        <w:keepNext/>
      </w:pPr>
      <w:r>
        <w:rPr>
          <w:rFonts w:ascii="Times New Roman" w:hAnsi="Times New Roman" w:eastAsia="Microsoft YaHei"/>
        </w:rPr>
        <w:t>2.3.1 高值离群点识别</w:t>
      </w:r>
    </w:p>
    <w:p>
      <w:pPr/>
      <w:r>
        <w:rPr>
          <w:rFonts w:ascii="Times New Roman" w:hAnsi="Times New Roman" w:eastAsia="Microsoft YaHei"/>
        </w:rPr>
        <w:t>高值离群点的识别对象主要集中在连续农艺性状与目标变量 `GY`，即 `PH`、`IFP`、`NLP`、`NGP`、`NGL`、`NS`、`MHG` 和 `GY`。从预处理流程可以确认，这些字段被统一归入数值变量处理路径，并在进入后续分析前完成中位数填补与稳健缩放。因此，本节所说的“高值”并不是原始量纲下的绝对大数，而是相对于总体中位水平明显偏高的观测点，表现为缩放后落在右侧尾部的样本。</w:t>
      </w:r>
    </w:p>
    <w:p>
      <w:pPr/>
      <w:r>
        <w:rPr>
          <w:rFonts w:ascii="Times New Roman" w:hAnsi="Times New Roman" w:eastAsia="Microsoft YaHei"/>
        </w:rPr>
        <w:t>结合已有处理结果，可以判断本数据中的异常观测并非普遍性问题，而是更接近“少量高值、局部拉尾”的结构。预处理阶段没有直接删除这些记录，也未采用简单截尾，说明识别高值离群点的重点并不是机械剔除样本，而是先确认哪些变量存在可能显著偏离主体分布的极端观测，再通过稳健统计口径降低其对整体分析的扰动。这种识别思路尤其适用于农艺试验数据，因为极端高值既可能来源于录入误差，也可能对应某些季次、品种或重复条件下的真实高表现。</w:t>
      </w:r>
    </w:p>
    <w:p>
      <w:pPr/>
      <w:r>
        <w:rPr>
          <w:rFonts w:ascii="Times New Roman" w:hAnsi="Times New Roman" w:eastAsia="Microsoft YaHei"/>
        </w:rPr>
        <w:t>从当前保留下来的数值字段及其缩放后表现看，`NLP`、`NGP` 以及 `GY` 都应被视为重点排查对象。已有上下文已明确指出，连续变量整体存在右偏与少量高值离群点，且稳健缩放正是针对这类结构设计。样例记录中也可见部分变量出现明显高于中心区间的正向偏离，例如 `NLP` 可达到 1.6263490882、1.767770748，`NGP` 可达到 0.8265771711、1.0860138014，这说明右尾高值并未在预处理后消失，而是以更可比较的尺度被保留下来。对 `GY` 而言，虽然展示样例中的正值波动相对有限，但其已被纳入同样的稳健处理链路，意味着产量变量同样存在识别极端高观测的必要。</w:t>
      </w:r>
    </w:p>
    <w:p>
      <w:pPr/>
      <w:r>
        <w:rPr>
          <w:rFonts w:ascii="Times New Roman" w:hAnsi="Times New Roman" w:eastAsia="Microsoft YaHei"/>
        </w:rPr>
        <w:t>`PH`、`IFP`、`NGL`、`NS` 和 `MHG` 的高值识别则更应强调“局部偏高”而非“普遍失稳”。从结果形式看，这些变量在转换后均围绕 0 分布，说明多数样本仍集中在中位附近；但只要某些记录在稳健缩放后持续落入较高正向区间，就仍应被视为潜在高值离群点候选。特别是在同一数据集中同时存在 `Season`、`Cultivar` 和 `Repetition` 这类分组因素时，某些偏高观测有可能是分组差异的自然体现，而不一定是错误值。因此，本节对高值离群点的识别，更适合定义为“相对主体分布明显偏高、值得单独核查的观测”，而不是先验判定为异常噪声。</w:t>
      </w:r>
    </w:p>
    <w:p>
      <w:pPr/>
      <w:r>
        <w:rPr>
          <w:rFonts w:ascii="Times New Roman" w:hAnsi="Times New Roman" w:eastAsia="Microsoft YaHei"/>
        </w:rPr>
        <w:t>就预处理证据而言，本阶段已经完成了高值离群点的初步定位框架：先把真正的数值字段与分类字段分离，避免文本类别误入连续变量计算；再将缺失样式值统一识别并填补，防止空缺被误看成极端值；最后利用以中位数和四分位距为基准的缩放方式，使高值样本在保留信息的同时不再主导整体尺度。由此可见，`PH`、`IFP`、`NLP`、`NGP`、`NGL`、`NS`、`MHG` 与 `GY` 中那些显著位于右尾的记录，已经被成功暴露为后续需要重点判断的极端观测集合，而不是继续隐没在原始量纲和混杂噪声之中。</w:t>
      </w:r>
    </w:p>
    <w:p>
      <w:pPr>
        <w:pStyle w:val="Heading3"/>
        <w:keepNext/>
      </w:pPr>
      <w:r>
        <w:rPr>
          <w:rFonts w:ascii="Times New Roman" w:hAnsi="Times New Roman" w:eastAsia="Microsoft YaHei"/>
        </w:rPr>
        <w:t>2.3.2 稳定性评估与保留策略</w:t>
      </w:r>
    </w:p>
    <w:p>
      <w:pPr/>
      <w:r>
        <w:rPr>
          <w:rFonts w:ascii="Times New Roman" w:hAnsi="Times New Roman" w:eastAsia="Microsoft YaHei"/>
        </w:rPr>
        <w:t>对异常观测的稳定性判断，关键不在于它是否偏离主体分布，而在于这种偏离是否仍处于可解释的试验结构之内。就当前预处理结果而言，`PH`、`IFP`、`NLP`、`NGP`、`NGL`、`NS`、`MHG` 与 `GY` 并未因极端值而被删除，而是统一保留在数值处理链路中，并通过中位数填补与稳健缩放进入后续分析。这一做法本身表明，本阶段对异常点采取的是“先保留、后评估”的策略，而非预设其为噪声后直接剔除。</w:t>
      </w:r>
    </w:p>
    <w:p>
      <w:pPr/>
      <w:r>
        <w:rPr>
          <w:rFonts w:ascii="Times New Roman" w:hAnsi="Times New Roman" w:eastAsia="Microsoft YaHei"/>
        </w:rPr>
        <w:t>这种保留策略具有明确的方法依据。稳健缩放以中位数和四分位距为参照，能够压低少量高值对整体尺度估计的牵引效应，因此即便某些样本在右尾位置偏高，也不会像传统均值标准化那样显著放大其影响。在这一前提下，异常点如果在缩放后仍然表现为连续、可比较的数值，就更适合作为待核验的候选观测，而不是立即视作无效记录。当前结果中，连续变量均围绕 0 分布，且样例仍保留了 `NLP`、`NGP` 等较高正向偏离值，说明预处理并未掩盖这些差异，而是把它们转换为更适合比较的统一尺度。</w:t>
      </w:r>
    </w:p>
    <w:p>
      <w:pPr/>
      <w:r>
        <w:rPr>
          <w:rFonts w:ascii="Times New Roman" w:hAnsi="Times New Roman" w:eastAsia="Microsoft YaHei"/>
        </w:rPr>
        <w:t>从数据结构角度看，直接删除高值样本也缺乏充分证据支持。预处理代码重点清除了误入数据体的表头重复行，修正了 `Cultivar` 的文本格式，并对字段类型进行了重新判别；这些步骤主要针对结构性噪声和类型不一致问题，而不是针对某几条连续观测进行人工裁剪。换言之，当前流程已经优先处理了更容易被确认的错误来源，但并没有发现足以证明右尾高值必然为录入异常的结构证据。因此，在没有额外原始核查信息的情况下，将这些观测简单定义为噪声并删除，反而可能损失真实存在的季次、品种或重复差异。</w:t>
      </w:r>
    </w:p>
    <w:p>
      <w:pPr/>
      <w:r>
        <w:rPr>
          <w:rFonts w:ascii="Times New Roman" w:hAnsi="Times New Roman" w:eastAsia="Microsoft YaHei"/>
        </w:rPr>
        <w:t>具体到变量层面，`NLP`、`NGP` 和 `GY` 的保留更应采取审慎而非激进的策略。它们在处理后仍能出现明显高于中位水平的正向偏离，说明少数样本确实承载了较强的差异信息。对于农艺试验数据而言，这类高值既可能是局部记录误差，也可能对应某些 `Season`、`Cultivar` 或 `Repetition` 条件下的真实高表现。如果在尚未结合试验分组背景复核前就将其删除，容易把真正有解释价值的高产或高性状表现一并清除，导致数据分布被过度“平滑”。</w:t>
      </w:r>
    </w:p>
    <w:p>
      <w:pPr/>
      <w:r>
        <w:rPr>
          <w:rFonts w:ascii="Times New Roman" w:hAnsi="Times New Roman" w:eastAsia="Microsoft YaHei"/>
        </w:rPr>
        <w:t>因此，本节的保留原则应理解为：对连续变量中的异常点不做机械剔除，而是将其作为需要重点复核和稳健建模对待的样本。凡是已经通过字段类型识别、缺失填补和数值缩放后仍保持连续数值形态的观测，都先纳入后续分析；只有在后续结合原始记录、分组条件或业务校验后，能够明确证明其来源于录入错误、错位记录或不可解释的异常机制时，才考虑进一步清洗。这样既能控制少量极端值对整体分析的扰动，也能最大限度保留真实差异，为后续评估不同试验条件下的表现稳定性提供更完整的信息。</w:t>
      </w:r>
    </w:p>
    <w:p>
      <w:pPr>
        <w:pStyle w:val="Heading3"/>
        <w:keepNext/>
      </w:pPr>
      <w:r>
        <w:rPr>
          <w:rFonts w:ascii="Times New Roman" w:hAnsi="Times New Roman" w:eastAsia="Microsoft YaHei"/>
        </w:rPr>
        <w:t>2.3.3 偏态分布对建模影响</w:t>
      </w:r>
    </w:p>
    <w:p>
      <w:pPr/>
      <w:r>
        <w:rPr>
          <w:rFonts w:ascii="Times New Roman" w:hAnsi="Times New Roman" w:eastAsia="Microsoft YaHei"/>
        </w:rPr>
        <w:t>右偏分布对建模的干扰，主要不在于“数值偏大”本身，而在于少量高值样本会改变模型对误差、尺度和局部模式的感知。当前数值变量 `PH`、`IFP`、`NLP`、`NGP`、`NGL`、`NS`、`MHG` 与 `GY` 已统一进入数值处理链路，且预处理结果显示这些变量在缩放后整体围绕 0 分布，但仍保留了右侧较高取值。这说明数据并未被强行压平成近似对称结构，右尾信息仍然存在，模型训练时仍需面对由偏态和高值样本带来的分布不均衡问题。</w:t>
      </w:r>
    </w:p>
    <w:p>
      <w:pPr/>
      <w:r>
        <w:rPr>
          <w:rFonts w:ascii="Times New Roman" w:hAnsi="Times New Roman" w:eastAsia="Microsoft YaHei"/>
        </w:rPr>
        <w:t>对建模过程而言，右偏变量首先会影响参数估计的稳定性。若某些特征的大部分样本集中在中位附近，而少量观测明显落在右尾，则模型在拟合时容易对这部分稀疏高值区域赋予过多关注，尤其是在目标变量 `GY` 也可能存在同类结构时，局部样本会对损失函数形成不成比例的牵引。这样一来，模型可能在主体样本区间拟合较平缓，却在高值区域形成过强响应，导致整体规律被少量极端观测放大。样例中 `NLP` 出现 1.6263490882、1.767770748，`NGP` 出现 0.8265771711、1.0860138014，正说明右尾样本在变换后依然具有可见影响，不属于可以忽略的微小扰动。</w:t>
      </w:r>
    </w:p>
    <w:p>
      <w:pPr/>
      <w:r>
        <w:rPr>
          <w:rFonts w:ascii="Times New Roman" w:hAnsi="Times New Roman" w:eastAsia="Microsoft YaHei"/>
        </w:rPr>
        <w:t>其次，偏态会削弱不同特征之间的可比性。虽然当前预处理已采用稳健缩放，使连续变量都转化为以中位数和四分位距为参照的统一尺度，但这种处理更多是在降低极端值对尺度估计的冲击，并不意味着右偏结构已经消失。对于 `NLP`、`NGP` 这类右尾更明显的变量，模型接收到的仍是“多数样本集中、少数样本拉尾”的分布形态。若后续使用对输入分布较敏感的建模方法，这类特征仍可能造成系数估计波动、边界划分偏移或对局部高值区间过拟合。</w:t>
      </w:r>
    </w:p>
    <w:p>
      <w:pPr/>
      <w:r>
        <w:rPr>
          <w:rFonts w:ascii="Times New Roman" w:hAnsi="Times New Roman" w:eastAsia="Microsoft YaHei"/>
        </w:rPr>
        <w:t>不过，现有预处理已经在相当程度上缓解了这种干扰。数值变量使用中位数填补，避免缺失值与右偏结构叠加放大分布失真；稳健缩放则弱化了均值和标准差容易被高值牵引的问题，使 `PH`、`IFP`、`NLP`、`NGP`、`NGL`、`NS`、`MHG` 和 `GY` 都能够在更稳定的数值框架下进入模型。与直接保留原始量纲相比，这种处理降低了右尾样本主导训练过程的风险，也减少了少量异常高值对整体特征空间的压缩效应。</w:t>
      </w:r>
    </w:p>
    <w:p>
      <w:pPr/>
      <w:r>
        <w:rPr>
          <w:rFonts w:ascii="Times New Roman" w:hAnsi="Times New Roman" w:eastAsia="Microsoft YaHei"/>
        </w:rPr>
        <w:t>因此，本数据中的偏态分布对建模的影响应理解为“仍需关注，但已被部分控制”。它不会因为稳健预处理而完全消失，但其破坏性已从“直接扭曲尺度”转变为“局部影响模型关注重点”。在后续建模阶段，`NLP`、`NGP` 及 `GY` 这类右偏更明显的变量应被视为影响模型稳定性的重点来源；而当前不删除样本、仅通过稳健统计口径控制影响的做法，也更符合农艺试验中真实高表现样本可能具有业务价值的特点。</w:t>
      </w:r>
    </w:p>
    <w:p>
      <w:pPr>
        <w:pStyle w:val="Heading2"/>
        <w:keepNext/>
      </w:pPr>
      <w:r>
        <w:rPr>
          <w:rFonts w:ascii="Times New Roman" w:hAnsi="Times New Roman" w:eastAsia="Microsoft YaHei"/>
        </w:rPr>
        <w:t>2.4 特征变换与编码</w:t>
      </w:r>
    </w:p>
    <w:p>
      <w:pPr/>
      <w:r>
        <w:rPr>
          <w:rFonts w:ascii="Times New Roman" w:hAnsi="Times New Roman" w:eastAsia="Microsoft YaHei"/>
        </w:rPr>
        <w:t>本节的核心工作，是把清洗后的混合型试验数据进一步整理为可直接进入模型的数值化输入。结合当前执行结果，预处理后的数据已经形成统一特征矩阵：连续变量保留为缩放后的数值列，分类变量被展开为0/1指示列，最终展示为320条记录、54个字段的全数值结构。这说明原始数据中不同量纲、不同类型的字段，已经被转换到同一建模接口下，不再需要模型在训练前额外处理文本类别或原始量纲差异。</w:t>
      </w:r>
    </w:p>
    <w:p>
      <w:pPr/>
      <w:r>
        <w:rPr>
          <w:rFonts w:ascii="Times New Roman" w:hAnsi="Times New Roman" w:eastAsia="Microsoft YaHei"/>
        </w:rPr>
        <w:t>在数值字段方面，`PH`、`IFP`、`NLP`、`NGP`、`NGL`、`NS`、`MHG` 与 `GY` 被纳入统一的稳健变换链路。具体做法是先以中位数完成缺失填补，再采用以中位数和四分位距为基准的缩放方式进行标准化处理。这样得到的结果不再保留原始测量单位，而是表示样本相对总体中位水平的偏离程度。从处理后样例看，这些变量均围绕0分布，同时保留正负方向上的差异，例如 `PH` 可取 -0.7370037289、-0.7545514367 等值，`GY` 可取 -0.2827410541、0.2064523189，`NLP` 和 `NGP` 也仍存在较高的正向偏离。这样的变换既控制了不同性状间量纲不一致的问题，也保留了样本间相对高低的信息，使连续特征能够在同一尺度上参与后续学习。</w:t>
      </w:r>
    </w:p>
    <w:p>
      <w:pPr/>
      <w:r>
        <w:rPr>
          <w:rFonts w:ascii="Times New Roman" w:hAnsi="Times New Roman" w:eastAsia="Microsoft YaHei"/>
        </w:rPr>
        <w:t>在分类字段方面，编码策略与字段结构保持一致。`Season` 和 `Repetition` 被直接视为分类变量，`Cultivar` 在完成字符串清洗后同样作为分类特征参与编码；若存在混合类型字段，则按分类变量路径处理。由于本次分类字段不止一个，流程没有采用标签编码，而是使用独热编码展开类别信息。处理结果中，`Season` 被转换为 `Season_1`、`Season_2`，`Repetition` 被转换为 `Repetition_1` 至 `Repetition_4`，`Cultivar` 则扩展为多个具体品种指示列，如 `Cultivar_74K75RSF CE`、`Cultivar_MANU IPRO`、`Cultivar_NEO 760 CE`、`Cultivar_TMG 22X83I2X` 等。每条记录通过这些哑变量标记其所属类别，例如样例首行中 `Season_1=1.0`、`Season_2=0.0`，`Cultivar_NEO 760 CE=1.0`，`Repetition_1=1.0`，其余同类列为0，这意味着分类信息已经被明确拆解为模型可识别的离散输入。</w:t>
      </w:r>
    </w:p>
    <w:p>
      <w:pPr/>
      <w:r>
        <w:rPr>
          <w:rFonts w:ascii="Times New Roman" w:hAnsi="Times New Roman" w:eastAsia="Microsoft YaHei"/>
        </w:rPr>
        <w:t>这种编码方式的重要意义，在于它避免了将类别名称误解释为存在大小顺序的数值。对于 `Cultivar` 这类品种字段，如果直接赋予整数编号，模型可能会错误地把不同品种之间理解为线性递进关系；独热编码则把每个类别转化为独立指示信号，使模型只学习“是否属于该类别”，而不引入人为顺序。对 `Season` 和 `Repetition` 也是同样的逻辑：它们在试验设计中是分组标识，而不是可直接比较大小的连续量，因此转为哑变量后更符合字段本身的统计含义。</w:t>
      </w:r>
    </w:p>
    <w:p>
      <w:pPr/>
      <w:r>
        <w:rPr>
          <w:rFonts w:ascii="Times New Roman" w:hAnsi="Times New Roman" w:eastAsia="Microsoft YaHei"/>
        </w:rPr>
        <w:t>从结果结构看，特征变换后的数据已完成从“原始字段集合”到“建模输入矩阵”的转换。当前列清单中，前部为缩放后的连续变量，后部为展开后的分类指示列，全部字段均为数值型，说明模型训练时可以直接基于该矩阵读取输入。与此同时，`GY` 也以数值形式保留在结果表中，便于后续从同一处理结果中划分特征与目标。就这一阶段而言，数据已经具备监督学习所需的基本表示形式：一方面，数值特征具有统一尺度；另一方面，类别信息被完整保留且转化为可计算结构，保证了季次、品种和重复这些试验组织因素能够进入后续建模分析。</w:t>
      </w:r>
    </w:p>
    <w:p>
      <w:pPr>
        <w:pStyle w:val="Heading3"/>
        <w:keepNext/>
      </w:pPr>
      <w:r>
        <w:rPr>
          <w:rFonts w:ascii="Times New Roman" w:hAnsi="Times New Roman" w:eastAsia="Microsoft YaHei"/>
        </w:rPr>
        <w:t>2.4.1 稳健标准化处理</w:t>
      </w:r>
    </w:p>
    <w:p>
      <w:pPr/>
      <w:r>
        <w:rPr>
          <w:rFonts w:ascii="Times New Roman" w:hAnsi="Times New Roman" w:eastAsia="Microsoft YaHei"/>
        </w:rPr>
        <w:t>稳健标准化处理主要针对连续变量在量纲差异、偏态分布和高值样本并存条件下的尺度统一问题展开。当前预处理流程中，`PH`、`IFP`、`NLP`、`NGP`、`NGL`、`NS`、`MHG` 与 `GY` 被纳入同一数值处理链路，先完成中位数填补，再进行以中位数和四分位距为基准的缩放。这种做法并不试图消除所有高值，而是优先降低离群点对整体尺度估计的牵引，避免少数极端观测直接主导变量的伸缩范围。</w:t>
      </w:r>
    </w:p>
    <w:p>
      <w:pPr/>
      <w:r>
        <w:rPr>
          <w:rFonts w:ascii="Times New Roman" w:hAnsi="Times New Roman" w:eastAsia="Microsoft YaHei"/>
        </w:rPr>
        <w:t>相较于依赖均值和标准差的常规标准化，当前方法更适合本批试验数据的分布特征。前序处理已显示，部分农艺性状及 `GY` 存在右尾较长、少量高值保留的情况，如果仍以均值作为中心、以标准差作为尺度，缩放结果容易被高值样本拉动，使多数样本被压缩在较窄区间内。稳健标准化改用中位数和四分位距后，变量中心更多反映主体样本位置，尺度也更接近中间 50% 样本的离散程度，因此能在保留真实差异的同时，减弱异常值对数值范围的放大效应。</w:t>
      </w:r>
    </w:p>
    <w:p>
      <w:pPr/>
      <w:r>
        <w:rPr>
          <w:rFonts w:ascii="Times New Roman" w:hAnsi="Times New Roman" w:eastAsia="Microsoft YaHei"/>
        </w:rPr>
        <w:t>从处理后的结果看，数值列已经被转换到可比较的统一尺度上。样例中，`PH` 取值可见 `-0.7370037289`、`-0.7545514367`，`IFP` 可见 `-0.1072386059`、`-0.5898123324`，`GY` 可见 `-0.2827410541`、`0.2064523189`，说明这些变量均围绕 0 分布，不再保留原始测量单位。与此同时，`NLP` 仍出现 `1.6263490882`、`1.767770748`，`NGP` 仍出现 `0.8265771711`、`1.0860138014`，表明缩放后的数据并未被机械压平，高于中位水平的样本依然能够以正向偏离的形式保留下来。这一点符合本节处理目标：控制离群点对尺度的破坏，而不是抹除其可能承载的农艺信息。</w:t>
      </w:r>
    </w:p>
    <w:p>
      <w:pPr/>
      <w:r>
        <w:rPr>
          <w:rFonts w:ascii="Times New Roman" w:hAnsi="Times New Roman" w:eastAsia="Microsoft YaHei"/>
        </w:rPr>
        <w:t>这种转换的实际意义在于提升连续变量进入模型时的可比性。`PH`、`NGL`、`MHG`、`GY` 等字段原本处于不同量纲和不同波动范围中，若直接输入模型，数值跨度较大的变量更容易在距离计算、梯度更新或参数估计中占据不成比例的影响。经过稳健标准化后，各变量都可被理解为“相对总体中位水平的偏离程度”，模型接收到的是一致的尺度表达，而不是混杂的原始单位。这使后续算法更容易从变量间相对变化中学习规律，而不是被量纲本身牵制。</w:t>
      </w:r>
    </w:p>
    <w:p>
      <w:pPr/>
      <w:r>
        <w:rPr>
          <w:rFonts w:ascii="Times New Roman" w:hAnsi="Times New Roman" w:eastAsia="Microsoft YaHei"/>
        </w:rPr>
        <w:t>同时，当前结果也说明稳健标准化与前面的异常值保留策略是衔接一致的。对于 `NLP`、`NGP` 乃至 `GY` 这类仍保留较高正向偏离的变量，处理方式并未简单截断高值，而是通过更稳健的中心与尺度定义降低其对整体分布的支配作用。这样既避免了极端样本把多数观测压缩到接近零的小范围内，也保留了少量高值样本所代表的潜在品种差异、季次差异或重复差异。对田间试验数据而言，这种“弱化影响而不直接删除”的处理方式更有利于兼顾数据稳定性与真实性。</w:t>
      </w:r>
    </w:p>
    <w:p>
      <w:pPr>
        <w:pStyle w:val="Heading3"/>
        <w:keepNext/>
      </w:pPr>
      <w:r>
        <w:rPr>
          <w:rFonts w:ascii="Times New Roman" w:hAnsi="Times New Roman" w:eastAsia="Microsoft YaHei"/>
        </w:rPr>
        <w:t>2.4.2 品种与分组变量独热编码</w:t>
      </w:r>
    </w:p>
    <w:p>
      <w:pPr/>
      <w:r>
        <w:rPr>
          <w:rFonts w:ascii="Times New Roman" w:hAnsi="Times New Roman" w:eastAsia="Microsoft YaHei"/>
        </w:rPr>
        <w:t>本节处理的重点，是将 `Cultivar`、`Season` 和 `Repetition` 这类类别字段转换为模型可以直接读取的数值特征。根据实际预处理逻辑，`Season` 与 `Repetition` 被直接指定为分类变量，`Cultivar` 在完成字符串化和首尾空格清理后，也按分类变量进入同一编码流程。之所以不保留原始文本形式，是因为这些字段本身并不具有连续数值意义，若直接以字符参与建模，绝大多数算法都无法将其作为可计算输入。</w:t>
      </w:r>
    </w:p>
    <w:p>
      <w:pPr/>
      <w:r>
        <w:rPr>
          <w:rFonts w:ascii="Times New Roman" w:hAnsi="Times New Roman" w:eastAsia="Microsoft YaHei"/>
        </w:rPr>
        <w:t>在编码方式上，本次流程没有使用标签编码，而是采用独热编码展开类别信息。这一选择与当前数据结构一致：分类字段不止一个，且字段中的取值代表不同季次、不同重复和不同品种类别，类别之间不存在天然的大小顺序。若将这类变量简单映射为整数，容易让模型误把类别编号理解为有序变化；独热编码则通过为每个类别单独生成一列 0/1 指示变量，使模型只识别“是否属于该类别”，从而更符合字段本身的业务含义。</w:t>
      </w:r>
    </w:p>
    <w:p>
      <w:pPr/>
      <w:r>
        <w:rPr>
          <w:rFonts w:ascii="Times New Roman" w:hAnsi="Times New Roman" w:eastAsia="Microsoft YaHei"/>
        </w:rPr>
        <w:t>从处理结果看，分类字段已经被明确展开为哑变量列。`Season` 被拆分为 `Season_1` 和 `Season_2`，`Repetition` 被拆分为 `Repetition_1`、`Repetition_2`、`Repetition_3` 与 `Repetition_4`，`Cultivar` 则扩展为多个具体品种列，例如 `Cultivar_NEO 760 CE`、`Cultivar_MANU IPRO`、`Cultivar_NK 7777 IPRO`、`Cultivar_TMG 22X83I2X` 等。当前预处理后的字段清单显示，原始混合结构已经被转换为仅含数值列的结果表，其中除 `PH`、`IFP`、`NLP`、`NGP`、`NGL`、`NS`、`MHG` 和 `GY` 这些连续变量外，其余新增分类特征均以这种 0/1 形式存在。</w:t>
      </w:r>
    </w:p>
    <w:p>
      <w:pPr/>
      <w:r>
        <w:rPr>
          <w:rFonts w:ascii="Times New Roman" w:hAnsi="Times New Roman" w:eastAsia="Microsoft YaHei"/>
        </w:rPr>
        <w:t>样例记录也能直接说明编码后的表达方式。第一条记录中，`Season_1=1.0`、`Season_2=0.0`，表示该样本属于 `Season` 的第一个类别；`Repetition_1=1.0` 而其余重复列为 0.0，表示该样本位于 `Repetition` 的第一个类别；在品种字段上，`Cultivar_NEO 760 CE=1.0`，而其他品种指示列为 0.0，说明该样本对应的品种就是 `NEO 760 CE`。这种表示方式把原本单列中的类别身份拆解为可计算的布尔特征，使每条样本在季次、重复和品种上的归属都能以统一数值接口输入模型。</w:t>
      </w:r>
    </w:p>
    <w:p>
      <w:pPr/>
      <w:r>
        <w:rPr>
          <w:rFonts w:ascii="Times New Roman" w:hAnsi="Times New Roman" w:eastAsia="Microsoft YaHei"/>
        </w:rPr>
        <w:t>独热编码带来的直接结果，是特征维度随类别展开而增加。处理后数据为 320 条记录、54 个字段，说明在保留连续变量的同时，类别信息已经被完整纳入特征空间。这样的结构便于后续回归或其他监督学习方法同时利用农艺性状与试验分组信息：一方面，模型能够识别不同 `Season`、不同 `Repetition` 及不同 `Cultivar` 的差异；另一方面，这些差异不再依赖文本匹配，而是通过标准化的指示列进入统一计算流程。对于本批试验数据而言，这一步将原始类别描述真正转化为可用于建模的结构化特征。</w:t>
      </w:r>
    </w:p>
    <w:p>
      <w:pPr>
        <w:pStyle w:val="Heading3"/>
        <w:keepNext/>
      </w:pPr>
      <w:r>
        <w:rPr>
          <w:rFonts w:ascii="Times New Roman" w:hAnsi="Times New Roman" w:eastAsia="Microsoft YaHei"/>
        </w:rPr>
        <w:t>2.4.3 特征矩阵与目标向量构建</w:t>
      </w:r>
    </w:p>
    <w:p>
      <w:pPr/>
      <w:r>
        <w:rPr>
          <w:rFonts w:ascii="Times New Roman" w:hAnsi="Times New Roman" w:eastAsia="Microsoft YaHei"/>
        </w:rPr>
        <w:t>在完成数值变量稳健标准化和分类变量独热编码之后，数据已经具备构建监督学习输入输出的条件。就当前结果表而言，预处理后的数据共有 54 列，其中 `GY` 保留为产量相关字段，其余列可作为模型输入特征。这意味着后续特征矩阵可以由除 `GY` 以外的全部字段组成，而目标向量则由 `GY` 单独提取，形成标准的监督回归数据结构。</w:t>
      </w:r>
    </w:p>
    <w:p>
      <w:pPr/>
      <w:r>
        <w:rPr>
          <w:rFonts w:ascii="Times New Roman" w:hAnsi="Times New Roman" w:eastAsia="Microsoft YaHei"/>
        </w:rPr>
        <w:t>从字段构成看，特征矩阵同时包含两类信息：一类是已经完成稳健缩放的连续变量，即 `PH`、`IFP`、`NLP`、`NGP`、`NGL`、`NS` 和 `MHG`；另一类是由 `Season`、`Cultivar` 和 `Repetition` 展开的哑变量列，如 `Season_1`、`Season_2`、`Cultivar_NEO 760 CE`、`Cultivar_MANU IPRO`、`Repetition_1` 至 `Repetition_4` 等。这样的组合使单条样本既保留了农艺性状的连续差异，也保留了季次、品种和重复等试验结构信息，能够让模型在统一数值空间内同时利用表型表现与分组背景。</w:t>
      </w:r>
    </w:p>
    <w:p>
      <w:pPr/>
      <w:r>
        <w:rPr>
          <w:rFonts w:ascii="Times New Roman" w:hAnsi="Times New Roman" w:eastAsia="Microsoft YaHei"/>
        </w:rPr>
        <w:t>目标向量的设定则相对明确，即以 `GY` 作为监督学习的预测对象。需要注意的是，在当前预处理结果中，`GY` 已进入与其他数值列相同的数值处理链路，表现为围绕 0 分布的连续数值，例如样例中可见 `-0.2827410541` 与 `0.2064523189`。因此，这里构建的目标向量并非原始单位下的产量值，而是经过中位数填补与稳健标准化后的 `GY` 数值。对于后续回归建模而言，这种处理能够使目标变量与输入数值特征保持一致的尺度逻辑，减少量纲差异对训练过程的额外干扰。</w:t>
      </w:r>
    </w:p>
    <w:p>
      <w:pPr/>
      <w:r>
        <w:rPr>
          <w:rFonts w:ascii="Times New Roman" w:hAnsi="Times New Roman" w:eastAsia="Microsoft YaHei"/>
        </w:rPr>
        <w:t>从结果结构上看，当前数据表已经是可直接拆分为 `X` 与 `y` 的全数值矩阵。样例记录中，连续变量取值为浮点数，类别变量展开列也均以 `0.0` 或 `1.0` 表示，未再保留原始文本字段；前述字段清单中同样未出现未编码的 `Season`、`Cultivar` 或 `Repetition` 原列。这说明特征矩阵构建时无需再执行额外的字符转换或类别映射，数据接口已经满足大多数监督学习算法的输入要求。</w:t>
      </w:r>
    </w:p>
    <w:p>
      <w:pPr/>
      <w:r>
        <w:rPr>
          <w:rFonts w:ascii="Times New Roman" w:hAnsi="Times New Roman" w:eastAsia="Microsoft YaHei"/>
        </w:rPr>
        <w:t>这一构建方式的意义在于，把原始试验记录转换为“每一行对应一个观测单元、每一列对应一个可计算变量、单独一列作为预测目标”的标准建模格式。对于后续模型比较与验证而言，输入侧可以统一读取由 53 个非 `GY` 字段组成的特征矩阵，输出侧则以 `GY` 形成一维目标向量。至此，数据已从清洗与变换阶段过渡到可直接进入训练、验证与性能评估的监督学习数据形态。</w:t>
      </w:r>
    </w:p>
    <w:p>
      <w:pPr>
        <w:pStyle w:val="Heading2"/>
        <w:keepNext/>
      </w:pPr>
      <w:r>
        <w:rPr>
          <w:rFonts w:ascii="Times New Roman" w:hAnsi="Times New Roman" w:eastAsia="Microsoft YaHei"/>
        </w:rPr>
        <w:t>2.5 数据划分与验证策略准备</w:t>
      </w:r>
    </w:p>
    <w:p>
      <w:pPr/>
      <w:r>
        <w:rPr>
          <w:rFonts w:ascii="Times New Roman" w:hAnsi="Times New Roman" w:eastAsia="Microsoft YaHei"/>
        </w:rPr>
        <w:t>进入数据划分与验证准备阶段时，核心问题已不再是字段能否被模型读取，而是后续训练与评估能否真实反映试验结构下的泛化能力。当前预处理结果共有 54 列，且已经形成全数值矩阵，其中 `GY` 可作为监督学习目标，其他字段可作为输入特征；但这些输入并不是彼此独立、完全无结构的普通样本，因为数据中明确保留了 `Season`、`Cultivar` 和 `Repetition` 所对应的试验分组信息，只是它们已经以独热编码后的列形式存在，如 `Season_1`、`Season_2`、`Repetition_1` 至 `Repetition_4` 以及多个 `Cultivar_...` 指示变量。也正因为如此，后续验证策略不能仅追求样本数量上的平均切分，还需要考虑分组因素对评估结果的影响。</w:t>
      </w:r>
    </w:p>
    <w:p>
      <w:pPr/>
      <w:r>
        <w:rPr>
          <w:rFonts w:ascii="Times New Roman" w:hAnsi="Times New Roman" w:eastAsia="Microsoft YaHei"/>
        </w:rPr>
        <w:t>从建模输入角度看，当前数据已经具备标准的 `X` 与 `y` 划分条件：`X` 由 `PH`、`IFP`、`NLP`、`NGP`、`NGL`、`NS`、`MHG` 及全部分类哑变量构成，`y` 则由 `GY` 单独提取。这样的划分方式有一个直接好处，即训练集与验证集可以在完全一致的字段空间中进行比较，不需要在切分后再补做字段整理。尤其是 `Season`、`Cultivar` 和 `Repetition` 已经进入特征矩阵，说明模型训练时会显式利用试验季次、品种类别和重复编号信息；因此，验证集若与训练集在这些分组结构上发生不合理混杂，就可能使评估值更多反映重复出现的组别信息，而不是模型对未充分见过结构条件的适应能力。</w:t>
      </w:r>
    </w:p>
    <w:p>
      <w:pPr/>
      <w:r>
        <w:rPr>
          <w:rFonts w:ascii="Times New Roman" w:hAnsi="Times New Roman" w:eastAsia="Microsoft YaHei"/>
        </w:rPr>
        <w:t>结合当前数据来源的组织方式，验证准备阶段应把“按试验分组进行约束”作为优先原则。原因并不在于数据不能随机拆分，而在于随机拆分容易把同一类试验背景同时分配到训练集和验证集中。对于本数据，`Season` 只有两个展开列，`Repetition` 则对应四个重复水平，`Cultivar` 又扩展为大量具体品种指示列，这意味着样本之间天然存在共享试验条件的关系。如果不对这些关系加以约束，模型可能在训练阶段已经见过与验证样本高度接近的组别模式，进而高估实际预测能力。验证策略准备的重点，正是先识别这些结构性来源，再决定哪些分组信息应用于切分规则，哪些信息保留为模型可学习的输入。</w:t>
      </w:r>
    </w:p>
    <w:p>
      <w:pPr/>
      <w:r>
        <w:rPr>
          <w:rFonts w:ascii="Times New Roman" w:hAnsi="Times New Roman" w:eastAsia="Microsoft YaHei"/>
        </w:rPr>
        <w:t>由于本阶段素材主要展示了预处理完成后的字段状态，并未给出最终训练集、验证集比例或具体交叉验证折数，因此这里更适合明确准备原则而非写出未经证实的参数值。可以确认的是，后续切分必须建立在预处理后得到的统一字段表之上，并围绕试验分组结构组织样本分配；这样做能够保证每一轮训练和验证都在同样的变量定义下进行，同时避免因组别交叉带来的信息泄漏风险。换言之，数据划分不是对 320 条记录做简单拆开，而是要在这 320 条、54 列的已编码样本中，保留试验层级关系对评估的约束作用。</w:t>
      </w:r>
    </w:p>
    <w:p>
      <w:pPr/>
      <w:r>
        <w:rPr>
          <w:rFonts w:ascii="Times New Roman" w:hAnsi="Times New Roman" w:eastAsia="Microsoft YaHei"/>
        </w:rPr>
        <w:t>另一个需要提前控制的问题，是预处理口径在不同数据子集之间的一致性。当前结果表显示，数值变量已经过中位数填补与稳健标准化，分类变量已经过字符串清洗、缺失处理和独热编码，最终所有字段都进入统一数值空间。验证设计若不保持这一处理链条的一致性，训练集与验证集之间就会出现尺度或编码定义不一致的问题，导致模型性能比较失真。因此，本节准备工作的实际含义，是把后续所有样本切分、各折评估与模型比较，都建立在同一套字段清洗、数值缩放和类别展开规则之上，使评估结果反映模型本身能力，而不是反映数据处理口径差异。</w:t>
      </w:r>
    </w:p>
    <w:p>
      <w:pPr/>
      <w:r>
        <w:rPr>
          <w:rFonts w:ascii="Times New Roman" w:hAnsi="Times New Roman" w:eastAsia="Microsoft YaHei"/>
        </w:rPr>
        <w:t>就当前数据结构而言，这一准备步骤还有一层现实意义：`Cultivar` 展开后形成了大量品种指示列，而 `Season` 与 `Repetition` 也分别对应有限但明确的组别。这样的特征空间一方面提升了模型对试验背景的表达能力，另一方面也提示验证阶段必须谨慎处理分组重叠问题。只有在划分时把试验结构纳入约束，后续模型比较才更接近真实应用场景下对不同季次、不同重复条件及不同品种组合的预测表现。</w:t>
      </w:r>
    </w:p>
    <w:p>
      <w:pPr>
        <w:pStyle w:val="Heading3"/>
        <w:keepNext/>
      </w:pPr>
      <w:r>
        <w:rPr>
          <w:rFonts w:ascii="Times New Roman" w:hAnsi="Times New Roman" w:eastAsia="Microsoft YaHei"/>
        </w:rPr>
        <w:t>2.5.1 训练集与验证集划分原则</w:t>
      </w:r>
    </w:p>
    <w:p>
      <w:pPr/>
      <w:r>
        <w:rPr>
          <w:rFonts w:ascii="Times New Roman" w:hAnsi="Times New Roman" w:eastAsia="Microsoft YaHei"/>
        </w:rPr>
        <w:t>在建模阶段，训练集与验证集的划分不能仅按照常规随机抽样处理，而应以试验结构约束为基本前提。当前预处理结果已形成 320 条记录、54 列的全数值矩阵，其中 `GY` 作为预测目标，其余字段作为输入特征；但这些样本并非完全无结构的独立观测，因为 `Season`、`Cultivar` 与 `Repetition` 的信息已经通过独热编码保留在特征空间中，如 `Season_1`、`Season_2`、多个 `Cultivar_...` 列以及 `Repetition_1` 至 `Repetition_4`。因此，数据切分的首要原则不是单纯追求训练集和验证集数量比例上的均衡，而是尽量避免同类试验背景被过度同时暴露给训练与验证两端。</w:t>
      </w:r>
    </w:p>
    <w:p>
      <w:pPr/>
      <w:r>
        <w:rPr>
          <w:rFonts w:ascii="Times New Roman" w:hAnsi="Times New Roman" w:eastAsia="Microsoft YaHei"/>
        </w:rPr>
        <w:t>具体而言，训练集与验证集应基于已经构建好的 `X` 与 `y` 同步切分，即以除 `GY` 外的全部字段构成特征矩阵，以 `GY` 构成目标向量，并保持两部分在样本索引上的一一对应。由于当前结果表中连续变量 `PH`、`IFP`、`NLP`、`NGP`、`NGL`、`NS`、`MHG` 已完成稳健标准化，分类变量也都已转化为 0/1 哑变量，切分动作本身不再涉及额外的字段整理问题，训练集与验证集天然处于一致的列空间内。这种一致性有助于后续模型直接比较训练期与验证期表现，避免因字段缺失、编码不一致或列顺序变化而引入额外误差。</w:t>
      </w:r>
    </w:p>
    <w:p>
      <w:pPr/>
      <w:r>
        <w:rPr>
          <w:rFonts w:ascii="Times New Roman" w:hAnsi="Times New Roman" w:eastAsia="Microsoft YaHei"/>
        </w:rPr>
        <w:t>划分原则上，应优先控制由 `Season`、`Cultivar` 和 `Repetition` 所代表的试验分组信息带来的潜在信息泄漏。原因在于，若采用完全随机的样本级拆分，同一季次、同一品种甚至同一重复条件下的记录可能同时进入训练集和验证集。此时模型在验证阶段看到的并不是真正意义上的“相对陌生条件”，而是与训练样本共享明显背景特征的观测，得到的评估结果容易偏乐观。尤其当前特征矩阵中已显式包含这些分组变量对应的哑变量列，模型可以直接利用它们进行拟合，因此切分时更需要对分组重叠保持谨慎。</w:t>
      </w:r>
    </w:p>
    <w:p>
      <w:pPr/>
      <w:r>
        <w:rPr>
          <w:rFonts w:ascii="Times New Roman" w:hAnsi="Times New Roman" w:eastAsia="Microsoft YaHei"/>
        </w:rPr>
        <w:t>就本数据的实际结构看，`Season` 对应两个水平，`Repetition` 对应四个水平，而 `Cultivar` 被展开为大量具体品种指示列。这意味着验证集若缺乏分组约束，模型可能通过识别已反复出现的季次、重复或品种模式取得较好分数，但这种分数并不一定代表其面对新组合条件时的泛化能力。基于这一点，训练集与验证集的划分应服务于“检验模型在试验结构下的可迁移性”这一目标，而不是仅反映其对已见模式的记忆能力。</w:t>
      </w:r>
    </w:p>
    <w:p>
      <w:pPr/>
      <w:r>
        <w:rPr>
          <w:rFonts w:ascii="Times New Roman" w:hAnsi="Times New Roman" w:eastAsia="Microsoft YaHei"/>
        </w:rPr>
        <w:t>另外，划分时还应保持目标变量 `GY` 的监督角色不被破坏。由于 `GY` 在当前结果中已经过中位数填补与稳健标准化，验证阶段比较的是模型对标准化后产量水平的预测偏差，因此训练集与验证集都应直接基于同一处理后的 `GY` 进行分离，不再混入原始单位值或其他版本目标列。这样既能保证建模输入输出口径统一，也能使后续误差评估建立在同一数值尺度上。</w:t>
      </w:r>
    </w:p>
    <w:p>
      <w:pPr/>
      <w:r>
        <w:rPr>
          <w:rFonts w:ascii="Times New Roman" w:hAnsi="Times New Roman" w:eastAsia="Microsoft YaHei"/>
        </w:rPr>
        <w:t>因此，本节的数据切分原则可以概括为三点：一是先按 `X` 与 `y` 的监督学习结构完成同步拆分；二是在拆分过程中把 `Season`、`Cultivar` 和 `Repetition` 所代表的试验分组影响纳入约束，避免随机混拆造成验证偏乐观；三是确保训练集与验证集使用完全一致的预处理后字段体系与目标定义。按照这一原则形成的数据子集，才能为后续验证设计提供可信的基础。</w:t>
      </w:r>
    </w:p>
    <w:p>
      <w:pPr>
        <w:pStyle w:val="Heading3"/>
        <w:keepNext/>
      </w:pPr>
      <w:r>
        <w:rPr>
          <w:rFonts w:ascii="Times New Roman" w:hAnsi="Times New Roman" w:eastAsia="Microsoft YaHei"/>
        </w:rPr>
        <w:t>2.5.2 分组交叉验证设计</w:t>
      </w:r>
    </w:p>
    <w:p>
      <w:pPr/>
      <w:r>
        <w:rPr>
          <w:rFonts w:ascii="Times New Roman" w:hAnsi="Times New Roman" w:eastAsia="Microsoft YaHei"/>
        </w:rPr>
        <w:t>在交叉验证设计上，不能把当前 320 条样本简单视为彼此独立且可任意随机重排的普通观测。预处理后的特征矩阵虽然已经统一为 54 列的全数值结构，但其中仍然保留了明显的试验组织信息，尤其是 `Season_1`、`Season_2`、`Repetition_1` 至 `Repetition_4` 以及大量 `Cultivar_...` 哑变量列。这意味着模型一旦在训练阶段接触到某一组试验背景，在验证阶段再次遇到同源组别时，就可能依赖这些背景标记而获得偏乐观的评估结果。因此，本节交叉验证的核心不是增加折数本身，而是在每一折中维持组边界，避免训练集与验证集共享同一试验分组信息。</w:t>
      </w:r>
    </w:p>
    <w:p>
      <w:pPr/>
      <w:r>
        <w:rPr>
          <w:rFonts w:ascii="Times New Roman" w:hAnsi="Times New Roman" w:eastAsia="Microsoft YaHei"/>
        </w:rPr>
        <w:t>结合当前数据结构，更合理的做法是采用基于组标识的交叉验证，而不是样本级随机交叉验证。这里的“组”不应从已经展开后的单个哑变量列直接逐列理解，而应回到原始试验组织逻辑，将同一试验背景下的样本作为整体进行折间分配。原因在于，`Season`、`Cultivar` 与 `Repetition` 本身代表的是分层试验条件，它们经过独热编码后虽然进入了特征空间，但在验证设计中仍应被视为划分约束，而不能仅当作普通预测变量处理。只有让同组样本完整地留在训练侧或验证侧，交叉验证得到的误差水平才更接近模型面对未充分见过试验条件时的真实表现。</w:t>
      </w:r>
    </w:p>
    <w:p>
      <w:pPr/>
      <w:r>
        <w:rPr>
          <w:rFonts w:ascii="Times New Roman" w:hAnsi="Times New Roman" w:eastAsia="Microsoft YaHei"/>
        </w:rPr>
        <w:t>具体实施时，可先在 `X` 与 `y` 之外额外保留一份分组索引，用于驱动各折划分；也就是说，特征矩阵继续使用除 `GY` 外的全部列，目标向量继续使用 `GY`，但折分依据不直接来自 `X` 的数值，而来自样本所属的试验组。由于当前展示结果中 `Season`、`Cultivar` 和 `Repetition` 已被编码展开，若直接在这一形态下划分，容易把“用于预测的列”与“用于分组的依据”混为一体。因此，在验证设计层面应优先恢复或保留这些字段对应的组别标签，再据此生成每一折的训练索引与验证索引，使同一组样本不会同时落入两端。</w:t>
      </w:r>
    </w:p>
    <w:p>
      <w:pPr/>
      <w:r>
        <w:rPr>
          <w:rFonts w:ascii="Times New Roman" w:hAnsi="Times New Roman" w:eastAsia="Microsoft YaHei"/>
        </w:rPr>
        <w:t>从信息泄漏控制角度看，分组交叉验证尤其适用于本数据。若仍采用完全随机的 K 折拆分，同一 `Cultivar` 在相同 `Season` 或相同 `Repetition` 条件下的记录可能分散到不同折中，模型会在训练阶段提前学习到与验证样本高度接近的组别模式。此时得到的验证分数并不完全反映模型对新组条件的泛化能力，而更像是在检验模型对已见试验背景的再识别能力。相比之下，按组划分能够人为切断这种近邻式重复暴露，使每一折评估更强调跨组迁移表现，而不是组内相似性的重复利用。</w:t>
      </w:r>
    </w:p>
    <w:p>
      <w:pPr/>
      <w:r>
        <w:rPr>
          <w:rFonts w:ascii="Times New Roman" w:hAnsi="Times New Roman" w:eastAsia="Microsoft YaHei"/>
        </w:rPr>
        <w:t>考虑到当前分组因素不止一个，实践中分组单位应尽量与实际试验单元保持一致，而不宜仅按单一因素切分。例如，若只按 `Season` 分组，数据中只有两个季次，验证结果将过度依赖单一维度；若只按 `Repetition` 分组，四个重复水平也未必足以覆盖品种差异。相较之下，将 `Season`、`Cultivar` 与 `Repetition` 共同构成复合分组键，更能贴合现有试验结构，避免同一品种在相同季次与重复条件下同时出现在训练集和验证集中。这样设计虽然会提高验证难度，但换来的是更保守、也更可信的性能估计。</w:t>
      </w:r>
    </w:p>
    <w:p>
      <w:pPr/>
      <w:r>
        <w:rPr>
          <w:rFonts w:ascii="Times New Roman" w:hAnsi="Times New Roman" w:eastAsia="Microsoft YaHei"/>
        </w:rPr>
        <w:t>这种设计还与前序预处理结果保持了方法上的一致性。当前数值变量已经完成稳健标准化，分类信息也已转化为稳定的 0/1 表达，说明模型输入空间本身是统一的；而分组交叉验证进一步保证了这种统一输入不会掩盖试验结构带来的依赖关系。换言之，前面的处理解决了“数据能否被模型稳定读取”的问题，本节的设计则解决了“模型表现是否在组约束下仍然可信”的问题。两者结合后，后续模型比较才具备可解释性，尤其适合用于评估不同算法在试验条件变化下对 `GY` 的泛化能力。</w:t>
      </w:r>
    </w:p>
    <w:p>
      <w:pPr>
        <w:pStyle w:val="Heading3"/>
        <w:keepNext/>
      </w:pPr>
      <w:r>
        <w:rPr>
          <w:rFonts w:ascii="Times New Roman" w:hAnsi="Times New Roman" w:eastAsia="Microsoft YaHei"/>
        </w:rPr>
        <w:t>2.5.3 预处理流程一致性控制</w:t>
      </w:r>
    </w:p>
    <w:p>
      <w:pPr/>
      <w:r>
        <w:rPr>
          <w:rFonts w:ascii="Times New Roman" w:hAnsi="Times New Roman" w:eastAsia="Microsoft YaHei"/>
        </w:rPr>
        <w:t>在分组交叉验证已经明确以试验结构为约束的前提下，预处理流程还需要保持折间完全一致，否则即使分组边界控制得当，评估结果仍可能因处理口径变化而失真。当前数据的预处理规则是明确且可复现的：先在原始数据副本上识别并剔除疑似重复表头行，再对 `Cultivar` 做字符串清洗，随后完成变量类型判定，并分别执行数值变量的中位数填补与稳健标准化、分类变量的字符串化与独热编码。该流程最终生成了 320 条记录、54 列的全数值矩阵，其中 `GY` 为目标变量，其余列构成模型输入。对验证设计而言，关键不只是“做过这些处理”，而是每一折训练与验证都必须遵循同一套处理顺序、同一字段规则和同一输出结构。</w:t>
      </w:r>
    </w:p>
    <w:p>
      <w:pPr/>
      <w:r>
        <w:rPr>
          <w:rFonts w:ascii="Times New Roman" w:hAnsi="Times New Roman" w:eastAsia="Microsoft YaHei"/>
        </w:rPr>
        <w:t>一致性控制首先体现在字段口径不能随折变化。当前结果中的列空间已经固定，包括 `PH`、`IFP`、`NLP`、`NGP`、`NGL`、`NS`、`MHG`、`GY`，以及 `Season_1`、`Season_2`、各个 `Cultivar_...` 列和 `Repetition_1` 至 `Repetition_4`。这意味着进入模型的特征集合应始终定义为除 `GY` 外的全部列，不能在某一折中临时删减字段，也不能因局部样本分布不同而改变编码后的列集合或列顺序。只有训练折与验证折共享一致的特征空间，模型输出的误差比较才具有可比性；否则，同名模型在不同折上面对的实际上是不同输入结构，评估波动就难以归因于模型本身。</w:t>
      </w:r>
    </w:p>
    <w:p>
      <w:pPr/>
      <w:r>
        <w:rPr>
          <w:rFonts w:ascii="Times New Roman" w:hAnsi="Times New Roman" w:eastAsia="Microsoft YaHei"/>
        </w:rPr>
        <w:t>一致性控制还体现在处理顺序不能颠倒。根据已执行的预处理逻辑，异常表头识别、`Cultivar` 清洗、类型识别、缺失处理、数值缩放和分类编码构成了一个前后依赖明确的链条。若某一折跳过表头噪声检查，或在类型判定之前就直接编码，都会改变后续字段进入数值流程还是分类流程的结果。尤其是 `Season` 和 `Repetition` 已被明确视为分类变量，`Cultivar` 经过去空格清洗后再参与编码；这些规则一旦在某些折中执行不完整，就可能出现类别拆分方式不一致、同一品种名称被重复编码，或者列数与其他折不一致的问题。</w:t>
      </w:r>
    </w:p>
    <w:p>
      <w:pPr/>
      <w:r>
        <w:rPr>
          <w:rFonts w:ascii="Times New Roman" w:hAnsi="Times New Roman" w:eastAsia="Microsoft YaHei"/>
        </w:rPr>
        <w:t>从结果形式看，当前数值字段已经完成稳健标准化，分类字段也都转化为 0/1 哑变量，因此验证阶段需要重点防止“先合并全量数据做一次预处理，再切分各折”的做法。因为中位数填补、稳健标准化和众数填补本质上都依赖样本分布信息，如果这些统计量同时利用了验证折数据，就会把验证集的信息提前带入训练过程。更稳妥的控制方式是：每一折先完成组约束下的训练集、验证集划分，再由训练折生成该折所需的填补和变换规则，并将同一规则应用到对应验证折。这样可以保证验证样本只接受训练阶段已经确定的处理参数，而不会反向影响训练端的数据刻画。</w:t>
      </w:r>
    </w:p>
    <w:p>
      <w:pPr/>
      <w:r>
        <w:rPr>
          <w:rFonts w:ascii="Times New Roman" w:hAnsi="Times New Roman" w:eastAsia="Microsoft YaHei"/>
        </w:rPr>
        <w:t>对于当前数据，`Season`、`Cultivar` 和 `Repetition` 既是试验结构信息，又在预处理后保留为哑变量特征，因此更需要将“分组依据”和“预处理结果”分开管理。用于折分的组标签应保留在编码前的逻辑层面，而进入模型的输入仍使用编码后的数值矩阵。这样既能保证各折划分遵循原始试验组织，又能保证模型训练始终接收统一格式的输入。若直接把已经展开的 `Season_1`、`Season_2` 或多个 `Cultivar_...` 列同时当作分组依据和建模特征，容易造成流程混淆，使不同环节对同一信息的使用边界不清晰。</w:t>
      </w:r>
    </w:p>
    <w:p>
      <w:pPr/>
      <w:r>
        <w:rPr>
          <w:rFonts w:ascii="Times New Roman" w:hAnsi="Times New Roman" w:eastAsia="Microsoft YaHei"/>
        </w:rPr>
        <w:t>因此，本节的一致性控制重点不是新增更多处理步骤，而是把已有预处理规则固化为可重复执行的标准流程：同样的清洗规则、同样的变量判定逻辑、同样的填补与缩放方式、同样的独热编码口径，以及同样的特征输出结构。在这一前提下，各折之间的差异才主要来自样本分配和试验组构成，而不是来自预处理本身。这样得到的交叉验证结果，才能更真实地反映模型在不同试验背景下的泛化能力。</w:t>
      </w:r>
    </w:p>
    <w:p>
      <w:pPr>
        <w:pStyle w:val="Heading1"/>
        <w:keepNext/>
      </w:pPr>
      <w:r>
        <w:rPr>
          <w:rFonts w:ascii="Times New Roman" w:hAnsi="Times New Roman" w:eastAsia="Microsoft YaHei"/>
        </w:rPr>
        <w:t>3 可视化分析</w:t>
      </w:r>
    </w:p>
    <w:p>
      <w:pPr/>
      <w:r>
        <w:rPr>
          <w:rFonts w:ascii="Times New Roman" w:hAnsi="Times New Roman" w:eastAsia="Microsoft YaHei"/>
        </w:rPr>
        <w:t>本章从样本覆盖、变量分布以及潜在差异线索三个层面，对预处理后的试验数据进行可视化解读。可视化的目的不只是直观展示数据形态，更在于识别哪些规律具有稳定性，哪些波动可能对应季次、品种或重复条件下的真实差异，从而为后续围绕 `GY` 的关联分析与建模判断提供依据。</w:t>
      </w:r>
    </w:p>
    <w:p>
      <w:pPr/>
      <w:r>
        <w:rPr>
          <w:rFonts w:ascii="Times New Roman" w:hAnsi="Times New Roman" w:eastAsia="Microsoft YaHei"/>
        </w:rPr>
        <w:t>从试验结构看，数据在核心分层维度上的覆盖较为规整。`Season 1` 与 `Season 2` 的样本数量几乎完全一致，说明季次之间不存在明显的样本量倾斜；`Repetition_1` 至 `Repetition_4` 的计数也完全一致，且各组均约为 80，表明重复设置在样本分配上高度均衡。这样的结构意味着，后续比较 `PH`、`IFP`、`NLP`、`NGP`、`NGL`、`NS`、`MHG` 与 `GY` 时，季次和重复维度带来的样本规模偏差相对较小，结果更容易反映真实差异而非样本量失衡造成的表观现象。</w:t>
      </w:r>
    </w:p>
    <w:p>
      <w:pPr/>
      <w:r>
        <w:rPr>
          <w:rFonts w:ascii="Times New Roman" w:hAnsi="Times New Roman" w:eastAsia="Microsoft YaHei"/>
        </w:rPr>
        <w:t>与季次和重复的均衡性相比，`Cultivar` 的分布呈现明显不同的模式。样本大量集中在 “Other” 这一合并类别中，而 Top 20 内各具体品种的频数普遍较低且相互接近，表现出典型的长尾结构。这说明当前品种构成较为分散，单个具体品种的样本支撑有限；同时，“Other”的集中也提示合并处理虽然提升了展示简洁性，但可能掩盖部分真实高频品种。因而，在解读品种间差异时，需要同时考虑头部合并类别的代表性与尾部低频品种的不确定性，避免将样本稀疏条件下的波动直接解释为稳定的品种优势。</w:t>
      </w:r>
    </w:p>
    <w:p>
      <w:pPr/>
      <w:r>
        <w:rPr>
          <w:rFonts w:ascii="Times New Roman" w:hAnsi="Times New Roman" w:eastAsia="Microsoft YaHei"/>
        </w:rPr>
        <w:t>在连续性状的总体分布上，多数变量都以 0 附近为中心，整体呈现单峰集中形态，说明样本群体在大部分农艺指标上具有较强一致性。`PH` 近似单峰钟形，主体集中于中心区域，整体略向右偏，并伴随少量高值离群点，显示其总体稳定但不同样本之间仍存在一定幅度差异。`IFP` 与 `PH` 相似，也呈单峰分布并主要集中在 0 附近，但两端均有少量离群值，说明多数观测接近平均水平，只有少数记录表现出异常偏高或偏低。</w:t>
      </w:r>
    </w:p>
    <w:p>
      <w:pPr/>
      <w:r>
        <w:rPr>
          <w:rFonts w:ascii="Times New Roman" w:hAnsi="Times New Roman" w:eastAsia="Microsoft YaHei"/>
        </w:rPr>
        <w:t>相较之下，`NLP`、`NGP`、`NGL` 与 `NS` 的偏态特征更为明显。`NLP` 主要集中在 -0.6 至 0.6 区间，右侧长尾较突出，提示整体处于中低波动范围，但少数组合会出现显著偏高表现。`NGP` 的分布同样明显右偏，主体多落在 0 附近到 1 之间，少量高值样本将右尾进一步拉长。`NGL` 右偏程度更强，大多数样本密集于 0 附近，样本间差异在很大程度上由少数高值观测拉开。`NS` 虽然整体仍集中在中心区间，但也表现出略右偏与右尾延伸，说明高值样本虽少，却对分布形态有实质影响。这类模式意味着，相关指标不能仅凭均值进行概括，更需要结合尾部样本识别潜在优势材料、特殊处理效果或异常记录来源。</w:t>
      </w:r>
    </w:p>
    <w:p>
      <w:pPr/>
      <w:r>
        <w:rPr>
          <w:rFonts w:ascii="Times New Roman" w:hAnsi="Times New Roman" w:eastAsia="Microsoft YaHei"/>
        </w:rPr>
        <w:t>`MHG` 的分布相对更平稳，呈近似对称的单峰结构，主要集中在 0 附近，离散程度中等，未显示出特别突出的偏态或极端异常聚集现象。这说明 `MHG` 更适合用于识别不同样本之间的细微差别，而不是依赖极端值来形成区分。与之相比，`PH` 虽整体稳定，但离散度相对更大；`NGL` 与 `NGP` 则因高值尾部突出，更可能成为区分不同组合表现的重要性状。</w:t>
      </w:r>
    </w:p>
    <w:p>
      <w:pPr/>
      <w:r>
        <w:rPr>
          <w:rFonts w:ascii="Times New Roman" w:hAnsi="Times New Roman" w:eastAsia="Microsoft YaHei"/>
        </w:rPr>
        <w:t>目标变量 `GY` 的分布与若干右偏性状有所不同。其整体形态近似正态，主要集中在 0 附近，两端仅存在少量离群值，说明大多数样本的产量表现围绕中心区域波动，未出现大规模单边偏移。与此同时，高低两端尾部观测依然值得关注，因为这些样本更可能对应特定 `Cultivar`、`Season` 或重复条件下的异常高产、低产现象，也是后续解释产量差异和筛选高潜力材料的重要线索。</w:t>
      </w:r>
    </w:p>
    <w:p>
      <w:pPr/>
      <w:r>
        <w:rPr>
          <w:rFonts w:ascii="Times New Roman" w:hAnsi="Times New Roman" w:eastAsia="Microsoft YaHei"/>
        </w:rPr>
        <w:t>从可视化呈现出的整体规律看，当前数据兼具“结构均衡”与“分布异质”两类特征：一方面，`Season` 与 `Repetition` 的样本覆盖高度平衡，使组间比较具备较好的可比性；另一方面，不同农艺性状在偏态、离散程度和离群值表现上并不一致，尤其 `NGL`、`NGP`、`NLP` 等变量的右尾特征较强，提示群体内部仍存在值得进一步追踪的高表现样本与特殊组合。结合 `Cultivar` 的长尾分布特征，可视化结果表明，后续分析既要利用整体分布的稳定性开展常规比较，也要对少量极端值和低频品种保持解释上的谨慎，以更准确地识别产量与性状差异背后的真实来源。</w:t>
      </w:r>
    </w:p>
    <w:p>
      <w:pPr>
        <w:pStyle w:val="Heading2"/>
        <w:keepNext/>
      </w:pPr>
      <w:r>
        <w:rPr>
          <w:rFonts w:ascii="Times New Roman" w:hAnsi="Times New Roman" w:eastAsia="Microsoft YaHei"/>
        </w:rPr>
        <w:t>3.1 试验结构与样本覆盖特征</w:t>
      </w:r>
    </w:p>
    <w:p>
      <w:pPr/>
      <w:r>
        <w:rPr>
          <w:rFonts w:ascii="Times New Roman" w:hAnsi="Times New Roman" w:eastAsia="Microsoft YaHei"/>
        </w:rPr>
        <w:t>本节聚焦试验组织层面的样本覆盖情况，重点考察 `Season`、`Repetition` 与 `Cultivar` 三个分层维度上的分布特征。就整体结构而言，样本在季次与重复两个核心试验因素上表现出较高的均衡性，而在品种维度上则呈现明显的集中与长尾并存特征。这种“分层设计均衡、品种构成分散”的组合，决定了后续组间比较既具备较好的结构可比性，也需要对品种频次不均带来的解释偏差保持审慎。</w:t>
      </w:r>
    </w:p>
    <w:p>
      <w:pPr/>
      <w:r>
        <w:rPr>
          <w:rFonts w:ascii="Times New Roman" w:hAnsi="Times New Roman" w:eastAsia="Microsoft YaHei"/>
        </w:rPr>
        <w:t>首先，`Season 1` 与 `Season 2` 的样本数量几乎完全一致，说明季次之间不存在显著的样本覆盖倾斜。对田间试验分析而言，这一特征十分关键，因为当两个季次的样本规模接近时，后续围绕 `PH`、`IFP`、`NLP`、`NGP`、`NGL`、`NS`、`MHG` 与 `GY` 展开的季次比较，更不容易受到样本量差异的干扰。换言之，若后续观察到季次间的性状变化或产量差异，其解释更有可能指向真实环境条件或试验背景差异，而不是样本基数不一致造成的表观波动。</w:t>
      </w:r>
    </w:p>
    <w:p>
      <w:pPr/>
      <w:r>
        <w:rPr>
          <w:rFonts w:ascii="Times New Roman" w:hAnsi="Times New Roman" w:eastAsia="Microsoft YaHei"/>
        </w:rPr>
        <w:t>其次，重复设置同样体现出较强的规范性。4 个重复组的计数完全一致，且各组均约为 80，表明 `Repetition_1` 至 `Repetition_4` 在样本分配上高度均衡。重复层面的这种整齐覆盖，意味着不同重复之间具有较好的可比基础，也有助于降低因局部样本不足而引入的波动。对于后续评估各项农艺性状及 `GY` 的稳定性而言，这种结构能够更有效地区分“真实差异”与“重复抽样不均”的影响，使重复条件下的一致性分析更具说服力。</w:t>
      </w:r>
    </w:p>
    <w:p>
      <w:pPr/>
      <w:r>
        <w:rPr>
          <w:rFonts w:ascii="Times New Roman" w:hAnsi="Times New Roman" w:eastAsia="Microsoft YaHei"/>
        </w:rPr>
        <w:t>与 `Season` 和 `Repetition` 的均衡分布相比，`Cultivar` 的样本覆盖呈现出显著不同的模式。当前品种频次高度集中于 “Other” 这一合并类别，且明显高于任何单一具体品种；与此同时，Top 20 范围内的各具体品种计数整体偏低、彼此接近，表现出典型的长尾结构。这说明样本中的品种来源较为分散，单个具体品种能够提供的观测支撑相对有限。因而，后续若对品种间差异进行比较，需要充分考虑低频品种估计不稳定的问题，避免将样本稀少条件下的局部高低波动直接视为稳健的品种优势或劣势。</w:t>
      </w:r>
    </w:p>
    <w:p>
      <w:pPr/>
      <w:r>
        <w:rPr>
          <w:rFonts w:ascii="Times New Roman" w:hAnsi="Times New Roman" w:eastAsia="Microsoft YaHei"/>
        </w:rPr>
        <w:t>这种品种分布特征还提示，合并类别虽然有助于控制展示复杂度，却可能在一定程度上遮蔽真实的头部品种信息。“Other” 所承载的并不是单一品种，而是多个低频或未单独展开的品种集合，因此其统计表现更适合被理解为一类混合群体，而非具体品种代表。对于试验结构解读来说，这意味着数据在组织层面虽然具备良好的季次与重复平衡，但在品种层面并非“均匀覆盖”，而是更接近“少数合并类别承载大量样本、多个具体品种共享有限样本”的结构状态。</w:t>
      </w:r>
    </w:p>
    <w:p>
      <w:pPr/>
      <w:r>
        <w:rPr>
          <w:rFonts w:ascii="Times New Roman" w:hAnsi="Times New Roman" w:eastAsia="Microsoft YaHei"/>
        </w:rPr>
        <w:t>综合来看，当前试验数据在 `Season` 与 `Repetition` 两个设计性因素上覆盖完整、分配均衡，显示出较好的试验组织规范性；而 `Cultivar` 则呈现集中度高、尾部较长的频次分布，反映出品种结构的异质性较强。前者为后续比较不同季次、不同重复下的性状与 `GY` 提供了稳固基础，后者则提醒后续品种分析应更加关注样本支撑差异、合并类别解释边界以及长尾品种结果的不确定性。</w:t>
      </w:r>
    </w:p>
    <w:p>
      <w:pPr>
        <w:pStyle w:val="Heading3"/>
        <w:keepNext/>
      </w:pPr>
      <w:r>
        <w:rPr>
          <w:rFonts w:ascii="Times New Roman" w:hAnsi="Times New Roman" w:eastAsia="Microsoft YaHei"/>
        </w:rPr>
        <w:t>3.1.1 Season样本分布均衡性</w:t>
      </w:r>
    </w:p>
    <w:p>
      <w:pPr/>
      <w:r>
        <w:rPr>
          <w:rFonts w:ascii="Times New Roman" w:hAnsi="Times New Roman" w:eastAsia="Microsoft YaHei"/>
        </w:rPr>
        <w:t>`Season 1` 与 `Season 2` 的样本数量几乎完全一致，柱形高度基本相同，说明当前数据在季次维度上不存在明显的样本覆盖倾斜，整体分布表现出较好的均衡性。</w:t>
      </w:r>
    </w:p>
    <w:p>
      <w:pPr>
        <w:spacing w:before="200" w:after="80"/>
        <w:jc w:val="center"/>
      </w:pPr>
      <w:r>
        <w:drawing>
          <wp:inline xmlns:a="http://schemas.openxmlformats.org/drawingml/2006/main" xmlns:pic="http://schemas.openxmlformats.org/drawingml/2006/picture">
            <wp:extent cx="3291839" cy="2116182"/>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图8 season1与season2样本数比较</w:t>
      </w:r>
    </w:p>
    <w:p>
      <w:pPr/>
      <w:r>
        <w:rPr>
          <w:rFonts w:ascii="Times New Roman" w:hAnsi="Times New Roman" w:eastAsia="Microsoft YaHei"/>
        </w:rPr>
        <w:t>这种均衡分布使季次之间具备较强的可比基础。后续若比较 `PH`、`IFP`、`NLP` 等农艺性状，或进一步观察不同 `Cultivar`、不同重复条件下的表现差异，样本量不均带来的干扰相对较小。也就是说，季次间出现的差异更有可能反映真实试验条件或群体表现差别，而不是由某一季样本偏多、另一季样本偏少造成的表观结果。</w:t>
      </w:r>
    </w:p>
    <w:p>
      <w:pPr/>
      <w:r>
        <w:rPr>
          <w:rFonts w:ascii="Times New Roman" w:hAnsi="Times New Roman" w:eastAsia="Microsoft YaHei"/>
        </w:rPr>
        <w:t>从分析可靠性的角度看，`Season` 层面的均衡覆盖有助于提升后续结果的解释力度。尤其在围绕 `GY` 及相关性状开展组间比较时，较稳定的样本结构能够减少季次样本基数差异带来的偏差，使可视化结论和后续建模判断更具可信度。</w:t>
      </w:r>
    </w:p>
    <w:p>
      <w:pPr>
        <w:pStyle w:val="Heading3"/>
        <w:keepNext/>
      </w:pPr>
      <w:r>
        <w:rPr>
          <w:rFonts w:ascii="Times New Roman" w:hAnsi="Times New Roman" w:eastAsia="Microsoft YaHei"/>
        </w:rPr>
        <w:t>3.1.2 Repetition样本分布均衡性</w:t>
      </w:r>
    </w:p>
    <w:p>
      <w:pPr/>
      <w:r>
        <w:rPr>
          <w:rFonts w:ascii="Times New Roman" w:hAnsi="Times New Roman" w:eastAsia="Microsoft YaHei"/>
        </w:rPr>
        <w:t>在重复维度上，样本覆盖表现出很强的一致性。`Repetition_1` 至 `Repetition_4` 的计数完全一致，且各组均约为 80，说明不同重复之间不存在明显的样本量偏差。对于田间试验数据而言，这种分布特征反映出重复设置执行较为规范，重复层面的覆盖完整度较高，各组具备良好的横向可比性。</w:t>
      </w:r>
    </w:p>
    <w:p>
      <w:pPr/>
      <w:r>
        <w:rPr>
          <w:rFonts w:ascii="Times New Roman" w:hAnsi="Times New Roman" w:eastAsia="Microsoft YaHei"/>
        </w:rPr>
        <w:t>这一结果的意义在于，后续围绕 `PH`、`IFP`、`NLP`、`NGP`、`NGL`、`NS`、`MHG` 以及 `GY` 的比较分析，不易受到重复样本基数不均的干扰。当某些重复组出现指标差异时，可以更有把握地将其理解为真实波动、处理响应或材料差别，而不是由某一重复样本过多或过少造成的表观偏移。尤其在评估重复条件下的一致性和稳定性时，均衡的样本结构能够提升结论的解释力度。</w:t>
      </w:r>
    </w:p>
    <w:p>
      <w:pPr/>
      <w:r>
        <w:rPr>
          <w:rFonts w:ascii="Times New Roman" w:hAnsi="Times New Roman" w:eastAsia="Microsoft YaHei"/>
        </w:rPr>
        <w:t>从数据质量角度看，重复组之间这种整齐的样本分配也有助于控制统计分析中的额外误差。它不仅减少了局部样本不足带来的不稳定性，也使后续与 `Season`、`Cultivar` 等分组变量结合开展交叉比较时，更容易识别真实的组间差异。因此，在当前数据结构下，`Repetition` 更适合作为稳定的试验组织维度使用，其本身带来的样本覆盖偏倚风险相对较低。</w:t>
      </w:r>
    </w:p>
    <w:p>
      <w:pPr>
        <w:pStyle w:val="Heading3"/>
        <w:keepNext/>
      </w:pPr>
      <w:r>
        <w:rPr>
          <w:rFonts w:ascii="Times New Roman" w:hAnsi="Times New Roman" w:eastAsia="Microsoft YaHei"/>
        </w:rPr>
        <w:t>3.1.3 品种频次长尾结构</w:t>
      </w:r>
    </w:p>
    <w:p>
      <w:pPr/>
      <w:r>
        <w:rPr>
          <w:rFonts w:ascii="Times New Roman" w:hAnsi="Times New Roman" w:eastAsia="Microsoft YaHei"/>
        </w:rPr>
        <w:t>在品种维度上，样本频次分布呈现出明显的不均衡特征。Top 20 品种中，“Other”这一合并类别的样本量显著高于任何单一具体品种，而其余品种的频数整体处于相对接近的低位，缺乏特别突出的头部单品。这种分布形态说明，当前数据中的品种构成并非由少数核心品种主导，而是表现为大量低频品种共同构成的长尾结构。</w:t>
      </w:r>
    </w:p>
    <w:p>
      <w:pPr>
        <w:spacing w:before="200" w:after="80"/>
        <w:jc w:val="center"/>
      </w:pPr>
      <w:r>
        <w:drawing>
          <wp:inline xmlns:a="http://schemas.openxmlformats.org/drawingml/2006/main" xmlns:pic="http://schemas.openxmlformats.org/drawingml/2006/picture">
            <wp:extent cx="3291839" cy="2116182"/>
            <wp:docPr id="9" name="Picture 9"/>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图9 top20品种样本频数分布</w:t>
      </w:r>
    </w:p>
    <w:p>
      <w:pPr/>
      <w:r>
        <w:rPr>
          <w:rFonts w:ascii="Times New Roman" w:hAnsi="Times New Roman" w:eastAsia="Microsoft YaHei"/>
        </w:rPr>
        <w:t>这一结果对后续分析有两层含义。其一，在比较不同 `Cultivar` 的农艺性状或 `GY` 表现时，不能简单将“出现次数较多”理解为“代表性更强”，因为高频主要来自合并后的 “Other” 类别，而不是某个具体品种本身。其二，除 “Other” 外，各具体品种之间样本量差异较小但总体都不高，意味着尾部品种的信息较为分散，单个品种的统计稳定性可能有限，相关差异判断需要结合样本覆盖情况谨慎解释。</w:t>
      </w:r>
    </w:p>
    <w:p>
      <w:pPr/>
      <w:r>
        <w:rPr>
          <w:rFonts w:ascii="Times New Roman" w:hAnsi="Times New Roman" w:eastAsia="Microsoft YaHei"/>
        </w:rPr>
        <w:t>从业务角度看，这种长尾分布反映出当前品种结构较为分散，尚未体现出非常鲜明的主力品种格局。同时，将大量样本归并到 “Other” 虽然有助于简化展示，但也可能掩盖其中真实的高频品种与细分差异。若后续需要支持更精细的种植规划、库存管理或重点品种推广，宜进一步拆解 “Other” 类别，识别其中实际贡献较高的具体品种，以提升品种层面分析的可解释性。</w:t>
      </w:r>
    </w:p>
    <w:p>
      <w:pPr>
        <w:pStyle w:val="Heading3"/>
        <w:keepNext/>
      </w:pPr>
      <w:r>
        <w:rPr>
          <w:rFonts w:ascii="Times New Roman" w:hAnsi="Times New Roman" w:eastAsia="Microsoft YaHei"/>
        </w:rPr>
        <w:t>3.1.4 季次与品种交叉覆盖</w:t>
      </w:r>
    </w:p>
    <w:p>
      <w:pPr/>
      <w:r>
        <w:rPr>
          <w:rFonts w:ascii="Times New Roman" w:hAnsi="Times New Roman" w:eastAsia="Microsoft YaHei"/>
        </w:rPr>
        <w:t>在 `Season` 与 `Cultivar` 的交叉层面，当前素材没有给出具体的二维计数表或交叉可视化结果，因此本节更适合从已有单维分布信息出发，判断交叉覆盖可能呈现的结构特征。已知 `Season 1` 与 `Season 2` 的样本量总体均衡，而 `Cultivar` 分布则表现出明显长尾，且大量样本被归入 “Other” 类别。这意味着，不同季次之间在总样本基数上具备可比性，但落实到具体品种时，覆盖完整度未必同样均匀，尤其尾部品种在单个季次中的出现频次可能更为有限。</w:t>
      </w:r>
    </w:p>
    <w:p>
      <w:pPr/>
      <w:r>
        <w:rPr>
          <w:rFonts w:ascii="Times New Roman" w:hAnsi="Times New Roman" w:eastAsia="Microsoft YaHei"/>
        </w:rPr>
        <w:t>从解释层面看，这种“季次均衡、品种分散”的组合结构，对交叉分析有直接影响。一方面，若某些 `Cultivar` 同时出现在两个 `Season` 中，季次间比较会更具说服力，因为季次总体样本基数并未失衡。另一方面，若部分低频品种只在某一季次中出现，或在另一季次中样本极少，则该品种的季次差异就难以被稳健识别。换言之，`Season` 维度的均衡并不自动代表“每个品种在两个季次中都被均衡观察到”，交叉覆盖情况仍需结合具体品种出现范围谨慎理解。</w:t>
      </w:r>
    </w:p>
    <w:p>
      <w:pPr/>
      <w:r>
        <w:rPr>
          <w:rFonts w:ascii="Times New Roman" w:hAnsi="Times New Roman" w:eastAsia="Microsoft YaHei"/>
        </w:rPr>
        <w:t>结合前文对 “Other” 的观察，这一合并类别在交叉分析中尤其需要注意。由于其内部聚合了多个具体品种，即便它在两个 `Season` 中都占据较大样本量，也不能直接将其解释为某一个稳定品种在不同季次中的连续表现。更合理的理解是，`Season` 与 “Other” 的交叉结果更像是“若干尾部品种集合”在不同季次中的合并覆盖，它有助于说明整体样本是否被广泛纳入，但不适合替代具体 `Cultivar` 的季次比较。</w:t>
      </w:r>
    </w:p>
    <w:p>
      <w:pPr/>
      <w:r>
        <w:rPr>
          <w:rFonts w:ascii="Times New Roman" w:hAnsi="Times New Roman" w:eastAsia="Microsoft YaHei"/>
        </w:rPr>
        <w:t>因此，在后续围绕 `GY` 或各农艺性状开展 `Season × Cultivar` 差异分析时，应优先关注那些在两个季次中都有明确观测记录、且样本覆盖相对充分的具体品种。对于仅在单季出现或跨季覆盖不足的品种，更适合将结果视为描述性线索，而不是直接作出稳定的组间差异判断。这样的处理方式能够更好地区分“季次效应”和“品种覆盖不完整”两类来源，避免将交叉样本稀疏带来的波动误判为真实的季次差异。</w:t>
      </w:r>
    </w:p>
    <w:p>
      <w:pPr>
        <w:pStyle w:val="Heading2"/>
        <w:keepNext/>
      </w:pPr>
      <w:r>
        <w:rPr>
          <w:rFonts w:ascii="Times New Roman" w:hAnsi="Times New Roman" w:eastAsia="Microsoft YaHei"/>
        </w:rPr>
        <w:t>3.2 农艺性状总体分布特征</w:t>
      </w:r>
    </w:p>
    <w:p>
      <w:pPr/>
      <w:r>
        <w:rPr>
          <w:rFonts w:ascii="Times New Roman" w:hAnsi="Times New Roman" w:eastAsia="Microsoft YaHei"/>
        </w:rPr>
        <w:t>从整体分布形态看，当前农艺性状与 `GY` 并未呈现高度离散或多峰混杂的状态，多数指标都集中在相对有限的取值区间内，表现出较明显的单峰特征。这说明样本群体在主要表型上具有一定一致性，整体波动处于可分析、可比较的范围内；与此同时，少数指标仍带有右偏长尾或尾部延伸，提示群体内部并非完全均质，仍存在少量高值样本或特殊观测，需要在后续分组比较中进一步识别其来源。</w:t>
      </w:r>
    </w:p>
    <w:p>
      <w:pPr>
        <w:spacing w:before="200" w:after="80"/>
        <w:jc w:val="center"/>
      </w:pPr>
      <w:r>
        <w:drawing>
          <wp:inline xmlns:a="http://schemas.openxmlformats.org/drawingml/2006/main" xmlns:pic="http://schemas.openxmlformats.org/drawingml/2006/picture">
            <wp:extent cx="3291839" cy="2116182"/>
            <wp:docPr id="10" name="Picture 10"/>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图10 ph等连续性状分布特征</w:t>
      </w:r>
    </w:p>
    <w:p>
      <w:pPr/>
      <w:r>
        <w:rPr>
          <w:rFonts w:ascii="Times New Roman" w:hAnsi="Times New Roman" w:eastAsia="Microsoft YaHei"/>
        </w:rPr>
        <w:t>在 `PH` 上，分布中心明显落在 0 附近，整体轮廓近似对称，表明高低两侧的波动较为均衡，没有显示出显著的系统性偏移。小提琴图同时显示两端仍有一定延伸，并伴随少量极端值，意味着虽然大多数材料的 `PH` 处于中间水平，但仍有少数观测明显偏高或偏低。这种形态说明 `PH` 的总体稳定性较好，适合作为后续比较不同 `Season`、`Cultivar` 与 `Repetition` 差异的重要基础变量，但在解释组间差异时仍需留意尾部样本可能带来的影响。</w:t>
      </w:r>
    </w:p>
    <w:p>
      <w:pPr>
        <w:spacing w:before="200" w:after="80"/>
        <w:jc w:val="center"/>
      </w:pPr>
      <w:r>
        <w:drawing>
          <wp:inline xmlns:a="http://schemas.openxmlformats.org/drawingml/2006/main" xmlns:pic="http://schemas.openxmlformats.org/drawingml/2006/picture">
            <wp:extent cx="3291839" cy="2116182"/>
            <wp:docPr id="11" name="Picture 11"/>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图11 ph分布特征及极端值分析</w:t>
      </w:r>
    </w:p>
    <w:p>
      <w:pPr/>
      <w:r>
        <w:rPr>
          <w:rFonts w:ascii="Times New Roman" w:hAnsi="Times New Roman" w:eastAsia="Microsoft YaHei"/>
        </w:rPr>
        <w:t>`IFP` 的分布同样以单峰为主，多数样本集中在 0 附近，说明这一指标整体波动不大，中心位置较为明确。与 `PH` 相比，`IFP` 略呈右偏，反映出群体中存在一部分相对较高的取值；同时箱线图显示两端都有少量离群值，说明除了常规波动外，还存在个别与总体差异较大的观测。就业务解释而言，`IFP` 更像是“整体稳定、局部高值可辨”的指标，后续若在特定品种或季次中观察到偏高表现，这类样本值得优先排查其是否对应真实优势性状或特殊试验条件。</w:t>
      </w:r>
    </w:p>
    <w:p>
      <w:pPr>
        <w:spacing w:before="200" w:after="80"/>
        <w:jc w:val="center"/>
      </w:pPr>
      <w:r>
        <w:drawing>
          <wp:inline xmlns:a="http://schemas.openxmlformats.org/drawingml/2006/main" xmlns:pic="http://schemas.openxmlformats.org/drawingml/2006/picture">
            <wp:extent cx="3291839" cy="2116182"/>
            <wp:docPr id="12" name="Picture 12"/>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图12 ifp分布特征及离群值表现</w:t>
      </w:r>
    </w:p>
    <w:p>
      <w:pPr/>
      <w:r>
        <w:rPr>
          <w:rFonts w:ascii="Times New Roman" w:hAnsi="Times New Roman" w:eastAsia="Microsoft YaHei"/>
        </w:rPr>
        <w:t>`MHG` 的分布特征在不同图形中表现出较强一致性：一方面，其整体呈近似对称的单峰结构，数据主要集中在 0 附近，离散程度中等，说明多数样本的 `MHG` 表现接近平均水平，适合用于识别细微差异；另一方面，从小提琴图看，`MHG` 的主要密集区间大致位于 -0.5 到 0.6 之间，整体略偏负，表明其中心位置略低于零，且两端存在少量离散值。两类图形结合起来说明，`MHG` 总体稳定性较好，但并非完全无偏，尾部仍保留少数明显偏高或偏低的样本，这些观测可能对应特定材料表现或局部异常记录。</w:t>
      </w:r>
    </w:p>
    <w:p>
      <w:pPr>
        <w:spacing w:before="200" w:after="80"/>
        <w:jc w:val="center"/>
      </w:pPr>
      <w:r>
        <w:drawing>
          <wp:inline xmlns:a="http://schemas.openxmlformats.org/drawingml/2006/main" xmlns:pic="http://schemas.openxmlformats.org/drawingml/2006/picture">
            <wp:extent cx="3291839" cy="2116182"/>
            <wp:docPr id="13" name="Picture 13"/>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图13 mhg分布特征与离群值表现</w:t>
      </w:r>
    </w:p>
    <w:p>
      <w:pPr/>
      <w:r>
        <w:rPr>
          <w:rFonts w:ascii="Times New Roman" w:hAnsi="Times New Roman" w:eastAsia="Microsoft YaHei"/>
        </w:rPr>
        <w:t>作为结果性指标，`GY` 的总体分布也显示出较清晰的中心与适中的离散水平。直方图和箱线图共同表明，`GY` 大多集中在 0 附近，整体近似正态，中位数居中，没有明显向高值或低值单边偏移，说明样本总体的产量波动相对均衡；同时箱体与须长反映其离散度为中等，并未出现大面积极端扩散。 进一步从箱线图观察，`GY` 两端均出现少量离群点，提示确有部分观测在产量表现上显著偏离常规区间，这些样本既可能代表高潜力材料，也可能对应不利环境或局部试验误差，需要在后续结合分组因素进行针对性核查。</w:t>
      </w:r>
    </w:p>
    <w:p>
      <w:pPr>
        <w:spacing w:before="200" w:after="80"/>
        <w:jc w:val="center"/>
      </w:pPr>
      <w:r>
        <w:drawing>
          <wp:inline xmlns:a="http://schemas.openxmlformats.org/drawingml/2006/main" xmlns:pic="http://schemas.openxmlformats.org/drawingml/2006/picture">
            <wp:extent cx="3291839" cy="2116182"/>
            <wp:docPr id="14" name="Picture 14"/>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图14 gy分布及离群值特征</w:t>
      </w:r>
    </w:p>
    <w:p>
      <w:pPr/>
      <w:r>
        <w:rPr>
          <w:rFonts w:ascii="Times New Roman" w:hAnsi="Times New Roman" w:eastAsia="Microsoft YaHei"/>
        </w:rPr>
        <w:t>从小提琴图的角度看，`GY` 在 0 附近最为密集，整体轮廓近似对称，说明中心区间聚集性较强，且正负两侧波动较为均衡；不过两端仍可见少量长尾延伸，进一步印证了极端高产或低产样本的存在。由此可见，`GY` 在群体层面并不存在明显偏态主导的问题，但尾部样本仍具有较强业务意义：它们可能是后续识别优势品种、特殊环境响应或重复间异常波动的重要线索。</w:t>
      </w:r>
    </w:p>
    <w:p>
      <w:pPr>
        <w:spacing w:before="200" w:after="80"/>
        <w:jc w:val="center"/>
      </w:pPr>
      <w:r>
        <w:drawing>
          <wp:inline xmlns:a="http://schemas.openxmlformats.org/drawingml/2006/main" xmlns:pic="http://schemas.openxmlformats.org/drawingml/2006/picture">
            <wp:extent cx="3291839" cy="2116182"/>
            <wp:docPr id="15" name="Picture 15"/>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图15 gy分布特征及离群值展示</w:t>
      </w:r>
    </w:p>
    <w:p>
      <w:pPr/>
      <w:r>
        <w:rPr>
          <w:rFonts w:ascii="Times New Roman" w:hAnsi="Times New Roman" w:eastAsia="Microsoft YaHei"/>
        </w:rPr>
        <w:t>综合这些分布特征可以看出，当前数据中的主要农艺性状与 `GY` 普遍具备“中心清晰、离散适中、极端值有限”的共同特点。这样的分布结构有利于开展常规比较，因为多数指标并未被严重偏态或大规模异常值主导；但少数变量表现出的轻微右偏、略偏负或尾部延伸，也提醒后续分析不能只关注均值水平，还应同步关注分布宽度、偏态方向以及离群点对应的具体 `Season`、`Cultivar` 和 `Repetition`。这意味着后续针对组间差异的解释，既可以建立在整体稳定性的基础上，也需要对尾部观测保持足够敏感，以避免忽略真正有业务价值的特殊材料或异常情形。</w:t>
      </w:r>
    </w:p>
    <w:p>
      <w:pPr>
        <w:pStyle w:val="Heading3"/>
        <w:keepNext/>
      </w:pPr>
      <w:r>
        <w:rPr>
          <w:rFonts w:ascii="Times New Roman" w:hAnsi="Times New Roman" w:eastAsia="Microsoft YaHei"/>
        </w:rPr>
        <w:t>3.2.1 关键农艺指标分布形态</w:t>
      </w:r>
    </w:p>
    <w:p>
      <w:pPr/>
      <w:r>
        <w:rPr>
          <w:rFonts w:ascii="Times New Roman" w:hAnsi="Times New Roman" w:eastAsia="Microsoft YaHei"/>
        </w:rPr>
        <w:t>8个连续性状的小提琴图显示，关键农艺指标整体以单峰、居中分布为主，多数变量的数值密集在 0 附近，说明样本总体更多围绕均值波动，中心位置较清晰，组间比较具备较好的分布基础。就分布形态而言，多数性状的小提琴宽度变化相对平缓，表明主体样本集中、离散程度有限，极端值对整体轮廓的扰动较弱，反映出这些指标在当前试验材料中具有较强的稳定性与一致性。</w:t>
      </w:r>
    </w:p>
    <w:p>
      <w:pPr/>
      <w:r>
        <w:rPr>
          <w:rFonts w:ascii="Times New Roman" w:hAnsi="Times New Roman" w:eastAsia="Microsoft YaHei"/>
        </w:rPr>
        <w:t>与这种相对集中的形态相比，`NGL` 与 `NGP` 的分布特征更值得关注。两者在高值方向上的轮廓延伸更明显，小提琴上部更宽，呈现出较突出的右偏与长尾形态，说明虽然多数样本仍落在中间区域，但群体中还存在少量较高取值，将整体分布向右侧拉伸。这类结构通常意味着指标内部异质性更强，高值材料对总体波动的贡献更大，也提示这两个性状更可能在不同 `Season`、品种或 `Repetition` 间表现出可识别差异。</w:t>
      </w:r>
    </w:p>
    <w:p>
      <w:pPr/>
      <w:r>
        <w:rPr>
          <w:rFonts w:ascii="Times New Roman" w:hAnsi="Times New Roman" w:eastAsia="Microsoft YaHei"/>
        </w:rPr>
        <w:t>从业务解释看，其余连续性状更接近“集中且稳定”的分布，适合用于刻画群体常规表现；而 `NGL` 与 `NGP` 则同时承载了集中趋势与高值分化信息，更适合作为后续深入比较的重点指标。对育种筛选和产量解释而言，应特别关注这两个指标中的高值样本及其异常点来源，区分其究竟对应真实优势材料，还是由特定试验条件带来的局部拉升，以提高后续分组分析和性状解释的可靠性。</w:t>
      </w:r>
    </w:p>
    <w:p>
      <w:pPr>
        <w:spacing w:before="200" w:after="80"/>
        <w:jc w:val="center"/>
      </w:pPr>
      <w:r>
        <w:drawing>
          <wp:inline xmlns:a="http://schemas.openxmlformats.org/drawingml/2006/main" xmlns:pic="http://schemas.openxmlformats.org/drawingml/2006/picture">
            <wp:extent cx="3291839" cy="2116182"/>
            <wp:docPr id="16" name="Picture 16"/>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图16 ph等连续性状分布特征</w:t>
      </w:r>
    </w:p>
    <w:p>
      <w:pPr>
        <w:pStyle w:val="Heading3"/>
        <w:keepNext/>
      </w:pPr>
      <w:r>
        <w:rPr>
          <w:rFonts w:ascii="Times New Roman" w:hAnsi="Times New Roman" w:eastAsia="Microsoft YaHei"/>
        </w:rPr>
        <w:t>3.2.2 高值离群点在性状中的表现</w:t>
      </w:r>
    </w:p>
    <w:p>
      <w:pPr/>
      <w:r>
        <w:rPr>
          <w:rFonts w:ascii="Times New Roman" w:hAnsi="Times New Roman" w:eastAsia="Microsoft YaHei"/>
        </w:rPr>
        <w:t>就高值离群点而言，`PH` 是当前性状中表现较为典型的指标。箱线图显示其中位数仍接近 0，说明大多数样本保持在相对居中的水平，但箱体与上下须延伸较长，反映出该性状内部波动并不小。在此基础上，其上尾略有拉长，且出现了一个较为明显的高值离群点，说明极端高值并非普遍现象，而是集中体现在少数观测上。这种结构意味着 `PH` 的主体分布虽然可控，但高值端存在局部突出的异常样本，可能对均值、波动判断以及组间比较结果产生放大作用。</w:t>
      </w:r>
    </w:p>
    <w:p>
      <w:pPr>
        <w:spacing w:before="200" w:after="80"/>
        <w:jc w:val="center"/>
      </w:pPr>
      <w:r>
        <w:drawing>
          <wp:inline xmlns:a="http://schemas.openxmlformats.org/drawingml/2006/main" xmlns:pic="http://schemas.openxmlformats.org/drawingml/2006/picture">
            <wp:extent cx="3291839" cy="2116182"/>
            <wp:docPr id="17" name="Picture 17"/>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图17 ph分布特征及离群值分析</w:t>
      </w:r>
    </w:p>
    <w:p>
      <w:pPr/>
      <w:r>
        <w:rPr>
          <w:rFonts w:ascii="Times New Roman" w:hAnsi="Times New Roman" w:eastAsia="Microsoft YaHei"/>
        </w:rPr>
        <w:t>从解释角度看，这类高值离群点更应被视为需要重点核查的特殊观测，而不宜直接当作常规分布的一部分。它既可能对应真实存在的优良表型或特定处理条件下的突出表现，也可能来自记录偏差、试验环境扰动或局部样本异质性。因而，在后续结合 `Season`、`Cultivar` 与 `Repetition` 进行差异分析时，应优先追踪这些高值样本的具体归属与出现背景，判断其究竟代表稳定信号还是偶发异常，以避免对 `PH` 性状表现作出过度外推。</w:t>
      </w:r>
    </w:p>
    <w:p>
      <w:pPr>
        <w:pStyle w:val="Heading3"/>
        <w:keepNext/>
      </w:pPr>
      <w:r>
        <w:rPr>
          <w:rFonts w:ascii="Times New Roman" w:hAnsi="Times New Roman" w:eastAsia="Microsoft YaHei"/>
        </w:rPr>
        <w:t>3.2.3 GY产量分布特征</w:t>
      </w:r>
    </w:p>
    <w:p>
      <w:pPr/>
      <w:r>
        <w:rPr>
          <w:rFonts w:ascii="Times New Roman" w:hAnsi="Times New Roman" w:eastAsia="Microsoft YaHei"/>
        </w:rPr>
        <w:t>从产量本身的分布表现看，`GY` 的中心位置较为明确，主体样本并非呈现杂乱分散的多峰结构，而是更多围绕一个相对集中的区间波动。这说明当前试验材料的产量水平具有一定可比性，群体内部虽然存在差异，但尚未表现出极端失衡或异常混杂的状态。结合箱线分布特征可进一步判断，`GY` 的波动范围并不算过窄，说明不同样本之间仍有现实意义上的产量差异；与此同时，整体形态未见特别突出的异常点主导分布，表明产量数据在解释时更适合从常规差异而非个别极端观测入手。</w:t>
      </w:r>
    </w:p>
    <w:p>
      <w:pPr>
        <w:spacing w:before="200" w:after="80"/>
        <w:jc w:val="center"/>
      </w:pPr>
      <w:r>
        <w:drawing>
          <wp:inline xmlns:a="http://schemas.openxmlformats.org/drawingml/2006/main" xmlns:pic="http://schemas.openxmlformats.org/drawingml/2006/picture">
            <wp:extent cx="3291839" cy="2116182"/>
            <wp:docPr id="18" name="Picture 18"/>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图18 mhg分布特征及离散性</w:t>
      </w:r>
    </w:p>
    <w:p>
      <w:pPr/>
      <w:r>
        <w:rPr>
          <w:rFonts w:ascii="Times New Roman" w:hAnsi="Times New Roman" w:eastAsia="Microsoft YaHei"/>
        </w:rPr>
        <w:t>进一步按主要品种观察，`GY` 的分布差异主要体现在两个方面：一是不同品种的中位水平并不一致，说明品种之间确实存在产量表现差别；二是各品种内部的离散程度差异明显，反映出稳定性并不相同。其中，98R30 CE 和 ADAPTA 的分布更宽、上下延伸更大，意味着这两个品种的产量波动范围较大，在不同观测中的表现起伏更明显；相比之下，77HO111I2X 的分布最集中，说明其 `GY` 表现更稳定，一致性更强。对业务判断而言，这意味着评价品种时不能只依据平均产量高低，还需要同时考虑波动风险：若强调稳产，77HO111I2X 更具参考价值；而对 98R30 CE 和 ADAPTA，则应结合环境条件与田间管理背景审慎理解其较大的不确定性。</w:t>
      </w:r>
    </w:p>
    <w:p>
      <w:pPr>
        <w:spacing w:before="200" w:after="80"/>
        <w:jc w:val="center"/>
      </w:pPr>
      <w:r>
        <w:drawing>
          <wp:inline xmlns:a="http://schemas.openxmlformats.org/drawingml/2006/main" xmlns:pic="http://schemas.openxmlformats.org/drawingml/2006/picture">
            <wp:extent cx="3291839" cy="2116182"/>
            <wp:docPr id="19" name="Picture 19"/>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图19 top品种gy分布特征</w:t>
      </w:r>
    </w:p>
    <w:p>
      <w:pPr>
        <w:pStyle w:val="Heading2"/>
        <w:keepNext/>
      </w:pPr>
      <w:r>
        <w:rPr>
          <w:rFonts w:ascii="Times New Roman" w:hAnsi="Times New Roman" w:eastAsia="Microsoft YaHei"/>
        </w:rPr>
        <w:t>3.3 季次差异下的性状与产量表现</w:t>
      </w:r>
    </w:p>
    <w:p>
      <w:pPr/>
      <w:r>
        <w:rPr>
          <w:rFonts w:ascii="Times New Roman" w:hAnsi="Times New Roman" w:eastAsia="Microsoft YaHei"/>
        </w:rPr>
        <w:t>在季次维度考察性状与产量表现时，现有结果提示 `Season` 可能是解释 `GY` 变化的重要背景因素之一，但单一性状本身并不足以独立刻画这种组间差异。以 `MHG` 与 `GY` 的关系为例，二者仅表现出很弱的正相关，意味着当 `MHG` 提升时，`GY` 可能略有上升，但这种变化趋势并不稳定，散点分布也未呈现出清晰紧密的线性带状结构，回归斜率较小，说明 `MHG` 对产量的单变量解释能力有限。</w:t>
      </w:r>
    </w:p>
    <w:p>
      <w:pPr>
        <w:spacing w:before="200" w:after="80"/>
        <w:jc w:val="center"/>
      </w:pPr>
      <w:r>
        <w:drawing>
          <wp:inline xmlns:a="http://schemas.openxmlformats.org/drawingml/2006/main" xmlns:pic="http://schemas.openxmlformats.org/drawingml/2006/picture">
            <wp:extent cx="3291839" cy="2116182"/>
            <wp:docPr id="20" name="Picture 20"/>
            <wp:cNvGraphicFramePr>
              <a:graphicFrameLocks noChangeAspect="1"/>
            </wp:cNvGraphicFramePr>
            <a:graphic>
              <a:graphicData uri="http://schemas.openxmlformats.org/drawingml/2006/picture">
                <pic:pic>
                  <pic:nvPicPr>
                    <pic:cNvPr id="0" name="image.png"/>
                    <pic:cNvPicPr/>
                  </pic:nvPicPr>
                  <pic:blipFill>
                    <a:blip r:embed="rId2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图20 gy与mhg关系</w:t>
      </w:r>
    </w:p>
    <w:p>
      <w:pPr/>
      <w:r>
        <w:rPr>
          <w:rFonts w:ascii="Times New Roman" w:hAnsi="Times New Roman" w:eastAsia="Microsoft YaHei"/>
        </w:rPr>
        <w:t>这一结果对季次差异的理解具有直接意义。前文已显示 `MHG` 自身总体分布较为居中、波动中等，因此在不同 `Season` 间，即便观察到局部高值或低值，也不宜将其直接等同于产量高低的充分条件。更合理的解释是，季次差异下的 `GY` 表现很可能来自多因素共同作用，其中既包括 `MHG` 的细微变化，也包括 `PH`、`IFP`、`NLP` 等农艺性状，以及品种构成和重复试验条件的叠加影响。换言之，`Season` 更像是一个承载综合环境差异的分组维度，它可能改变多个性状与产量之间的联动方式，而不是只通过单一指标传导到 `GY`。</w:t>
      </w:r>
    </w:p>
    <w:p>
      <w:pPr/>
      <w:r>
        <w:rPr>
          <w:rFonts w:ascii="Times New Roman" w:hAnsi="Times New Roman" w:eastAsia="Microsoft YaHei"/>
        </w:rPr>
        <w:t>从业务判断角度看，这种弱相关关系说明在比较不同季次时，应避免用某一个性状对产量变化作线性化、单路径的解释。若某一季次出现较高或较低的 `GY`，更应结合该季次内的多性状组合表现、样本分布稳定性以及品种与重复结构共同分析其来源。对于后续的季次分组比较，重点不应仅放在“某个指标是否升高”，而应放在“该季次下多个指标是否同步变化，以及这些变化是否共同指向产量差异”。这也说明季次层面的组间变化具备一定复杂性，需要在后续子章节中分别从农艺性状差异、`GY` 变化及季次内部稳定性三个层面进一步展开。</w:t>
      </w:r>
    </w:p>
    <w:p>
      <w:pPr>
        <w:pStyle w:val="Heading3"/>
        <w:keepNext/>
      </w:pPr>
      <w:r>
        <w:rPr>
          <w:rFonts w:ascii="Times New Roman" w:hAnsi="Times New Roman" w:eastAsia="Microsoft YaHei"/>
        </w:rPr>
        <w:t>3.3.1 不同Season的农艺性状差异</w:t>
      </w:r>
    </w:p>
    <w:p>
      <w:pPr/>
      <w:r>
        <w:rPr>
          <w:rFonts w:ascii="Times New Roman" w:hAnsi="Times New Roman" w:eastAsia="Microsoft YaHei"/>
        </w:rPr>
        <w:t>在季次维度下观察主要农艺性状时，可以先从各指标的总体分布特征出发判断其潜在的组间比较敏感度。现有结果表明，多数性状都以 0 附近为中心，但不同指标的偏态、离散度和异常值结构并不一致，因此 `Season` 对性状的影响更可能体现为分布形态和高低值出现频率的变化，而不只是简单的均值平移。就可比性而言，前文已确认两个季次样本量基本均衡，这使得当前对 `PH`、`IFP`、`NLP`、`NGP`、`NGL`、`NS` 和 `MHG` 的季次比较具有较好的解释基础，不易被单纯的样本规模差异干扰。</w:t>
      </w:r>
    </w:p>
    <w:p>
      <w:pPr/>
      <w:r>
        <w:rPr>
          <w:rFonts w:ascii="Times New Roman" w:hAnsi="Times New Roman" w:eastAsia="Microsoft YaHei"/>
        </w:rPr>
        <w:t>从各性状自身特征看，`PH`、`IFP` 与 `MHG` 更接近中心聚集、主体稳定的类型，但三者的波动结构并不完全相同。`PH` 虽然总体近似单峰、中心位置居中，但离散度相对较大，且高值端存在少量突出观测，意味着季次差异若出现在该指标上，既可能表现为常规水平的整体抬升，也可能体现为某一季次更容易出现高值样本。`IFP` 的主体分布更紧凑，说明该指标在大多数观测下较为稳定，因此若不同 `Season` 之间出现差异，更可能反映为局部样本偏离而非整体剧烈重构。`MHG` 则近似对称、离散程度中等，适合识别季次之间较细微的结构变化，但结合前文与 `GY` 的关系判断，其季次波动即便存在，也不宜被单独放大解释为产量变化的直接来源。</w:t>
      </w:r>
    </w:p>
    <w:p>
      <w:pPr/>
      <w:r>
        <w:rPr>
          <w:rFonts w:ascii="Times New Roman" w:hAnsi="Times New Roman" w:eastAsia="Microsoft YaHei"/>
        </w:rPr>
        <w:t>与上述相对，`NLP`、`NGP`、`NGL` 和 `NS` 更明显地表现出右偏和高值尾部延伸，说明它们在季次比较中更容易受到少量高值观测的影响。其中，`NLP` 主要集中在中间区间，但右尾较长，提示某些季次条件下可能更容易诱发偏高表现；`NGP` 与 `NGL` 的高值长尾更突出，少数样本会显著拉开组内差异，因此若某一季次在这两项指标上表现更高，需要进一步区分这是该季次下普遍性的性状改善，还是由少数组合集中抬升所致；`NS` 虽然整体也以中心区间为主，但右侧长尾和高值点同样意味着季次差异可能更多体现在尾部行为而非中位水平变化。就解释口径而言，这几类右偏指标更适合结合分布稳定性来理解，而不能仅凭均值高低判断季次优劣。</w:t>
      </w:r>
    </w:p>
    <w:p>
      <w:pPr/>
      <w:r>
        <w:rPr>
          <w:rFonts w:ascii="Times New Roman" w:hAnsi="Times New Roman" w:eastAsia="Microsoft YaHei"/>
        </w:rPr>
        <w:t>从综合意义上看，`Season` 对农艺性状的影响更像是对多项指标分布结构的共同塑形，而不是对某一个性状产生孤立、线性的决定作用。若后续观察到季次间存在性状差异，较合理的理解应是不同季次所代表的环境背景改变了若干性状的波动范围、偏态程度及高值样本出现概率，从而形成组间差别。也因此，在解释季次效应时，应优先关注哪些性状在某一季次中同时出现方向一致的变化，以及这些变化是体现在主体样本还是尾部样本上。只有当多个主要性状在同一季次下呈现出相互呼应的分布特征时，才能更有把握地把这种差异视为稳定的季次影响，而不是偶发异常或局部条件造成的短时波动。</w:t>
      </w:r>
    </w:p>
    <w:p>
      <w:pPr>
        <w:pStyle w:val="Heading3"/>
        <w:keepNext/>
      </w:pPr>
      <w:r>
        <w:rPr>
          <w:rFonts w:ascii="Times New Roman" w:hAnsi="Times New Roman" w:eastAsia="Microsoft YaHei"/>
        </w:rPr>
        <w:t>3.3.2 不同Season的GY变化</w:t>
      </w:r>
    </w:p>
    <w:p>
      <w:pPr/>
      <w:r>
        <w:rPr>
          <w:rFonts w:ascii="Times New Roman" w:hAnsi="Times New Roman" w:eastAsia="Microsoft YaHei"/>
        </w:rPr>
        <w:t>从季次与品种的交互表现看，`GY` 在两个 `Season` 之间存在较清晰的组间差异：多数品种从第1季到第2季均出现明显下滑，说明季次变化并非只影响个别材料，而更像是对整体产量水平产生了较普遍的压制作用。这意味着在当前试验条件下，第2季对应的环境背景可能对 `GY` 形成了共同压力，使不少品种的产量表现同步走弱。</w:t>
      </w:r>
    </w:p>
    <w:p>
      <w:pPr>
        <w:spacing w:before="200" w:after="80"/>
        <w:jc w:val="center"/>
      </w:pPr>
      <w:r>
        <w:drawing>
          <wp:inline xmlns:a="http://schemas.openxmlformats.org/drawingml/2006/main" xmlns:pic="http://schemas.openxmlformats.org/drawingml/2006/picture">
            <wp:extent cx="3291839" cy="2116182"/>
            <wp:docPr id="21" name="Picture 21"/>
            <wp:cNvGraphicFramePr>
              <a:graphicFrameLocks noChangeAspect="1"/>
            </wp:cNvGraphicFramePr>
            <a:graphic>
              <a:graphicData uri="http://schemas.openxmlformats.org/drawingml/2006/picture">
                <pic:pic>
                  <pic:nvPicPr>
                    <pic:cNvPr id="0" name="image.png"/>
                    <pic:cNvPicPr/>
                  </pic:nvPicPr>
                  <pic:blipFill>
                    <a:blip r:embed="rId2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图21 不同品种两季gy交互效应</w:t>
      </w:r>
    </w:p>
    <w:p>
      <w:pPr/>
      <w:r>
        <w:rPr>
          <w:rFonts w:ascii="Times New Roman" w:hAnsi="Times New Roman" w:eastAsia="Microsoft YaHei"/>
        </w:rPr>
        <w:t>不过，这种季次差异并不是简单一致的平移。不同品种连线斜率差异较大，表明各品种对 `Season` 变化的响应强度并不相同：有些品种降幅更明显，说明其对季次环境较为敏感；也有少数品种变化相对平缓，显示出更好的季节适应性和产量稳定性。由此可见，`Season` 对 `GY` 的影响具有显著的异质性，季次本身能够拉开产量水平，但最终变化幅度仍取决于品种与季次之间的适配程度。</w:t>
      </w:r>
    </w:p>
    <w:p>
      <w:pPr/>
      <w:r>
        <w:rPr>
          <w:rFonts w:ascii="Times New Roman" w:hAnsi="Times New Roman" w:eastAsia="Microsoft YaHei"/>
        </w:rPr>
        <w:t>这一结果对产量比较的解释方式也提出了更高要求。若仅比较两个季次的整体高低，虽然可以识别出第2季普遍偏弱的趋势，但仍不足以完整反映实际差异来源；更关键的信息在于，不同品种在季次转换中的下滑幅度并不一致，因此季次差异同时包含“整体环境效应”和“品种适应性差异”两层含义。对业务判断而言，这意味着品种筛选不能只看某一季中的绝对高产表现，还应关注其跨季 `GY` 波动是否可控。相比单季高产但降幅较大的品种，季次间变化较小的品种在实际推广中通常更有利于降低季节风险并保持收益稳定。</w:t>
      </w:r>
    </w:p>
    <w:p>
      <w:pPr>
        <w:pStyle w:val="Heading3"/>
        <w:keepNext/>
      </w:pPr>
      <w:r>
        <w:rPr>
          <w:rFonts w:ascii="Times New Roman" w:hAnsi="Times New Roman" w:eastAsia="Microsoft YaHei"/>
        </w:rPr>
        <w:t>3.3.3 季次内分布稳定性</w:t>
      </w:r>
    </w:p>
    <w:p>
      <w:pPr/>
      <w:r>
        <w:rPr>
          <w:rFonts w:ascii="Times New Roman" w:hAnsi="Times New Roman" w:eastAsia="Microsoft YaHei"/>
        </w:rPr>
        <w:t>在季次内部考察分布稳定性时，重点不应只看均值高低，而应观察各指标在同一 `Season` 内部是否保持中心聚集、尾部是否被少量极端值显著拉长，以及异常值出现是否足以改变对该季次整体表现的判断。结合前文各连续变量的总体分布特征可以推断，两个季次内部都不是完全均匀的“窄幅波动”结构，而是呈现“主体集中、少量尾部拉伸”的共同模式，只是不同指标的拉伸程度并不一致。</w:t>
      </w:r>
    </w:p>
    <w:p>
      <w:pPr/>
      <w:r>
        <w:rPr>
          <w:rFonts w:ascii="Times New Roman" w:hAnsi="Times New Roman" w:eastAsia="Microsoft YaHei"/>
        </w:rPr>
        <w:t>从稳定性较强的指标看，`IFP` 与 `MHG` 更接近季次内主体分布清晰、常规样本占多数的类型。`IFP` 本身以 0 附近为中心、整体较紧凑，即使存在少量两端离群值，也更像局部偏离而非组内结构失稳；这意味着若某一 `Season` 内 `IFP` 出现波动，其影响通常局限在少数观测，不太容易改变该季次的大体分布轮廓。`MHG` 近似对称且离散程度中等，说明其在季次内部更适合反映细微波动而非极端冲击，异常值对整体判断的干扰相对有限。相比之下，`PH` 虽然同样以中心聚集为主，但离散度更大，且高值端存在突出观测，因此某一季次内部如果出现稳定性下降，更可能首先体现为 `PH` 上尾被拉长，而不是中心位置发生明显偏移。</w:t>
      </w:r>
    </w:p>
    <w:p>
      <w:pPr/>
      <w:r>
        <w:rPr>
          <w:rFonts w:ascii="Times New Roman" w:hAnsi="Times New Roman" w:eastAsia="Microsoft YaHei"/>
        </w:rPr>
        <w:t>波动与异常值更值得警惕的是右偏特征更强的几项性状，即 `NLP`、`NGP`、`NGL` 和 `NS`。这些指标的共同特点是多数样本仍集中在中间区间，但高值端长尾明显，说明季次内部差异往往不是由大多数样本均匀拉开，而是由少量偏高观测放大。对 `NLP` 而言，主体区间相对明确，若某一季次内部分布显得不稳定，往往意味着该季次中出现了若干显著偏高的样本组合。`NGP` 与 `NGL` 的这种特征更突出，高值尾部更容易扩大组内离散度，因此即便某季次的大多数观测保持在常规范围内，也可能因少量高值材料而表现出“看似波动较大”的分布形态。`NS` 虽未表现出像 `NGP`、`NGL` 那样强烈的极端拉伸，但其右尾同样提示季次内部存在局部高值聚集的可能。</w:t>
      </w:r>
    </w:p>
    <w:p>
      <w:pPr/>
      <w:r>
        <w:rPr>
          <w:rFonts w:ascii="Times New Roman" w:hAnsi="Times New Roman" w:eastAsia="Microsoft YaHei"/>
        </w:rPr>
        <w:t>这意味着在解释季次内部稳定性时，应区分“主体样本是否稳定”和“尾部异常是否活跃”这两个层面。若一个季次的大多数样本依然围绕中心区域分布，只是少量高值观测拉长了上尾，那么该季次更应被理解为整体稳定、局部异常突出，而不是整体失稳。相反，如果某项性状在某季次内不仅尾部延伸，而且主体区间也明显变宽，才更能说明该季次下相关农艺表现的离散程度在普遍上升。就现有素材而言，更有依据的判断是：多数性状的季次内主体分布仍具一定集中性，真正拉开组内差异的主要是右偏变量中的少量高值样本。</w:t>
      </w:r>
    </w:p>
    <w:p>
      <w:pPr/>
      <w:r>
        <w:rPr>
          <w:rFonts w:ascii="Times New Roman" w:hAnsi="Times New Roman" w:eastAsia="Microsoft YaHei"/>
        </w:rPr>
        <w:t>`GY` 的季次内稳定性也应按类似逻辑理解。现有结果显示，`GY` 总体近似对称、中心在 0 附近、离散度中等，并伴随少量高低两端离群值。这说明无论处于哪个 `Season`，产量的大多数观测仍落在常规波动范围内，季次内部并未表现出普遍性的极端失衡；但同时，两端异常值提示每个季次内都可能存在少数显著高产或低产的材料组合。因而，在解释某一季次产量表现时，不能仅凭个别极端点判断该季次整体优劣，而应优先关注该季次中多数样本是否维持在相对集中的常规区间，再将尾部样本作为补充线索去识别高潜力材料或潜在风险来源。</w:t>
      </w:r>
    </w:p>
    <w:p>
      <w:pPr/>
      <w:r>
        <w:rPr>
          <w:rFonts w:ascii="Times New Roman" w:hAnsi="Times New Roman" w:eastAsia="Microsoft YaHei"/>
        </w:rPr>
        <w:t>从业务上看，季次内分布稳定性的核心价值在于帮助区分“环境效应导致的整体变化”与“少数样本造成的局部扰动”。如果某季次的差异主要来自 `NGP`、`NGL`、`NS`、`NLP` 等指标中的高值尾部，那么对该季次的判断就应更加谨慎，避免把少数组合的突出表现误读为该季次普遍有利。反过来，若 `IFP`、`MHG` 以及 `GY` 的主体分布仍保持集中，则说明该季次内部总体可控，异常点更多体现为值得追踪的特例，而非季次整体试验质量或环境条件失稳。对后续的品种筛选与季节适应性评估而言，这种区分尤为重要，因为真正具有推广价值的材料，不仅要在某一季次中出现高值，还应尽量避免仅依赖少量异常观测支撑其表现。</w:t>
      </w:r>
    </w:p>
    <w:p>
      <w:pPr>
        <w:pStyle w:val="Heading2"/>
        <w:keepNext/>
      </w:pPr>
      <w:r>
        <w:rPr>
          <w:rFonts w:ascii="Times New Roman" w:hAnsi="Times New Roman" w:eastAsia="Microsoft YaHei"/>
        </w:rPr>
        <w:t>3.4 品种差异下的性状与产量表现</w:t>
      </w:r>
    </w:p>
    <w:p>
      <w:pPr/>
      <w:r>
        <w:rPr>
          <w:rFonts w:ascii="Times New Roman" w:hAnsi="Times New Roman" w:eastAsia="Microsoft YaHei"/>
        </w:rPr>
        <w:t>在品种维度下解读农艺性状与 `GY` 表现，重点不再是单一变量的总体分布，而是不同 `Cultivar` 是否形成了稳定且可辨识的性状组合，以及这些组合能否进一步转化为产量潜力。结合前文可知，样本在 `Season` 和 `Repetition` 上较为均衡，但 `Cultivar` 本身呈现明显长尾结构，且大量样本被归入 “Other” 合并类别。这意味着品种间比较具备基本可比性，但解释时仍需区分“稳定的品种差异”和“由样本稀疏或类别合并带来的表观差异”，尤其不能将低频品种的局部高值直接等同于稳定优势。</w:t>
      </w:r>
    </w:p>
    <w:p>
      <w:pPr/>
      <w:r>
        <w:rPr>
          <w:rFonts w:ascii="Times New Roman" w:hAnsi="Times New Roman" w:eastAsia="Microsoft YaHei"/>
        </w:rPr>
        <w:t>从产量角度看，品种差异首先表现为 `GY` 水平并非均匀分布于各类材料之间，而更可能呈现“少数品种相对突出、多数品种围绕中心波动”的结构。由于 `GY` 整体近似对称、离散程度中等且仅有少量两端离群值，品种间若出现持续性的高低分化，通常比高度偏态指标更容易被解释为真实产量潜力差异，而不是单纯由极端观测拉动。这使得 `Cultivar` 成为解释 `GY` 异质性的重要维度：同样处于相近试验条件下，不同品种仍可能表现出不同的中心水平、波动幅度与尾部风险，反映其遗传背景和适应能力并不一致。</w:t>
      </w:r>
    </w:p>
    <w:p>
      <w:pPr/>
      <w:r>
        <w:rPr>
          <w:rFonts w:ascii="Times New Roman" w:hAnsi="Times New Roman" w:eastAsia="Microsoft YaHei"/>
        </w:rPr>
        <w:t>不过，判断品种产量潜力时不能只看 `GY` 的单项高低，还需要结合各农艺性状的分布特征理解其来源。`PH`、`IFP` 与 `MHG` 更接近主体分布清晰、极端值影响相对有限的指标，因此若某些品种在这些性状上持续偏离总体中心，更有可能代表稳定的表型差异。其中，`PH` 的离散程度相对更大，说明不同品种在株高相关表现上可能更容易被拉开层次；`IFP` 则整体更紧凑，如果某一品种在该指标上反复表现出偏高或偏低，往往具有更明确的区分意义；`MHG` 近似对称且波动适中，适合用于识别品种间较细微但持续存在的结构差别。也就是说，这几项性状更适合作为判断品种基础农艺特征是否稳定的参照。</w:t>
      </w:r>
    </w:p>
    <w:p>
      <w:pPr/>
      <w:r>
        <w:rPr>
          <w:rFonts w:ascii="Times New Roman" w:hAnsi="Times New Roman" w:eastAsia="Microsoft YaHei"/>
        </w:rPr>
        <w:t>相比之下，`NLP`、`NGP`、`NGL` 和 `NS` 在品种比较中需要更谨慎解读。它们普遍表现出不同程度的右偏和高值尾部延伸，意味着某些品种之所以在相关指标上看起来“更优”，未必是整体样本都同步提升，也可能只是少量观测显著偏高所致。尤其是 `NGP` 与 `NGL`，高值长尾更突出，最容易在品种层面制造“头部材料被迅速拉开”的视觉差异；`NLP` 与 `NS` 虽然主体区间更清晰，但右尾同样提示少数样本可能放大品种内部离散度。因此，当某一 `Cultivar` 同时表现出较高的这些性状时，更合理的解释是将其视为“存在潜在优势信号”，而不是直接判定为稳定优良品种；只有当这种高值表现与 `GY` 提升方向一致，且并非仅由个别点支撑时，才更具筛选价值。</w:t>
      </w:r>
    </w:p>
    <w:p>
      <w:pPr/>
      <w:r>
        <w:rPr>
          <w:rFonts w:ascii="Times New Roman" w:hAnsi="Times New Roman" w:eastAsia="Microsoft YaHei"/>
        </w:rPr>
        <w:t>从业务角度看，真正有价值的品种差异，通常不是某一项性状单独拔高，而是能够形成相对协调的农艺表现并体现在 `GY` 上。若某些品种在 `PH`、`IFP` 或 `MHG` 等相对稳定指标上表现平稳，同时在 `NLP`、`NGP`、`NGL`、`NS` 等更易出现高值尾部的指标上又能保持适度优势，那么这类材料更可能具有可转化的产量潜力。相反，若某品种主要依赖个别右偏指标中的极端高值来体现优势，而 `GY` 并未同步改善，则这种差异更可能只是局部波动，推广意义有限。</w:t>
      </w:r>
    </w:p>
    <w:p>
      <w:pPr/>
      <w:r>
        <w:rPr>
          <w:rFonts w:ascii="Times New Roman" w:hAnsi="Times New Roman" w:eastAsia="Microsoft YaHei"/>
        </w:rPr>
        <w:t>还需要注意的是，品种内部稳定性本身也是评价的重要组成部分。对于样本较充分、表现围绕中心区间且波动可控的品种，其平均性状和 `GY` 更具有代表性；而对低频品种或被并入 “Other” 的材料，即便出现较高 `GY` 或突出性状，也应保留谨慎态度，因为这类结果更容易受到单次观测、局部环境或异常值影响。换言之，品种间比较不仅是在比较“谁更高”，也在比较“谁更稳定、谁的优势更可信”。</w:t>
      </w:r>
    </w:p>
    <w:p>
      <w:pPr/>
      <w:r>
        <w:rPr>
          <w:rFonts w:ascii="Times New Roman" w:hAnsi="Times New Roman" w:eastAsia="Microsoft YaHei"/>
        </w:rPr>
        <w:t>因此，在品种筛选场景下，更适合将 `Cultivar` 的判断逻辑建立在两层标准上：一是看其是否在多个农艺性状上形成一致而非碎片化的优势；二是看这种优势是否能够对应到更稳健的 `GY` 表现。前者帮助识别品种差异的结构来源，后者决定这些差异是否具备实际产量意义。对于当前数据而言，品种差异显然是解释性状异质性和产量分化的重要线索，但受长尾分布与 “Other” 合并类别影响，任何头部品种结论都更适合作为重点候选方向，而不是在本阶段直接做出过强的定论。</w:t>
      </w:r>
    </w:p>
    <w:p>
      <w:pPr>
        <w:pStyle w:val="Heading3"/>
        <w:keepNext/>
      </w:pPr>
      <w:r>
        <w:rPr>
          <w:rFonts w:ascii="Times New Roman" w:hAnsi="Times New Roman" w:eastAsia="Microsoft YaHei"/>
        </w:rPr>
        <w:t>3.4.1 主要品种的GY差异</w:t>
      </w:r>
    </w:p>
    <w:p>
      <w:pPr/>
      <w:r>
        <w:rPr>
          <w:rFonts w:ascii="Times New Roman" w:hAnsi="Times New Roman" w:eastAsia="Microsoft YaHei"/>
        </w:rPr>
        <w:t>品种之间的 `GY` 差异在均值层面已表现出较清晰的梯度，说明产量潜力并不是在各类材料之间平均分布，而是存在相对突出的高产品种与相对靠后的低产品种。从两个季节的平均表现看，`Season 1` 的 `GY` 普遍高于 `Season 2`，这意味着品种比较不能脱离季节背景来理解；同一品种若在两个季节中都保持较高水平，其优势更接近真实且可重复的产量潜力，而非仅由单季环境放大形成的表观领先。</w:t>
      </w:r>
    </w:p>
    <w:p>
      <w:pPr>
        <w:spacing w:before="200" w:after="80"/>
        <w:jc w:val="center"/>
      </w:pPr>
      <w:r>
        <w:drawing>
          <wp:inline xmlns:a="http://schemas.openxmlformats.org/drawingml/2006/main" xmlns:pic="http://schemas.openxmlformats.org/drawingml/2006/picture">
            <wp:extent cx="3291839" cy="2116182"/>
            <wp:docPr id="22" name="Picture 22"/>
            <wp:cNvGraphicFramePr>
              <a:graphicFrameLocks noChangeAspect="1"/>
            </wp:cNvGraphicFramePr>
            <a:graphic>
              <a:graphicData uri="http://schemas.openxmlformats.org/drawingml/2006/picture">
                <pic:pic>
                  <pic:nvPicPr>
                    <pic:cNvPr id="0" name="image.png"/>
                    <pic:cNvPicPr/>
                  </pic:nvPicPr>
                  <pic:blipFill>
                    <a:blip r:embed="rId3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图22 不同季节品种平均gy分布</w:t>
      </w:r>
    </w:p>
    <w:p>
      <w:pPr/>
      <w:r>
        <w:rPr>
          <w:rFonts w:ascii="Times New Roman" w:hAnsi="Times New Roman" w:eastAsia="Microsoft YaHei"/>
        </w:rPr>
        <w:t>在主要品种中，`98R30 CE` 和 `ADAPTA LTT 8402 IPRO` 在两个季节中的平均 `GY` 均处于更突出的层级，表现出较强的高产潜力。相比只在单一季节出现高值的材料，这类跨季节都维持较深颜色的品种更值得优先关注，因为其优势不仅体现在绝对产量水平上，也体现在一定程度的季节适应性上。对于品种筛选而言，这类材料通常更适合作为重点候选对象，用于后续的稳定性验证和推广评估。</w:t>
      </w:r>
    </w:p>
    <w:p>
      <w:pPr/>
      <w:r>
        <w:rPr>
          <w:rFonts w:ascii="Times New Roman" w:hAnsi="Times New Roman" w:eastAsia="Microsoft YaHei"/>
        </w:rPr>
        <w:t>与之相对，部分品种在两个季节中的平均 `GY` 均处于相对较低水平，构成了低产梯队。这类品种即使在某一季节未出现明显异常下滑，其整体竞争力仍然有限，说明问题更可能出在基础产量潜力不足，而不是单纯受季节波动影响。还有一些品种虽然在 `Season 1` 中表现尚可，但到 `Season 2` 下滑更明显，反映其对季节变化的适应能力较弱。这类材料在业务判断上需要谨慎对待，因为单季表现较好并不一定能够转化为稳定收益。</w:t>
      </w:r>
    </w:p>
    <w:p>
      <w:pPr/>
      <w:r>
        <w:rPr>
          <w:rFonts w:ascii="Times New Roman" w:hAnsi="Times New Roman" w:eastAsia="Microsoft YaHei"/>
        </w:rPr>
        <w:t>因此，本节关于主要品种 `GY` 差异的核心结论不是简单区分“谁最高、谁最低”，而是同时识别“高产且跨季较稳健”的品种与“水平偏低或受季节影响较大”的品种。前者更具有实际推广价值，后者则应进一步结合环境适应性和其他农艺性状进行审慎评估，避免仅依据某一季节的局部表现作出选种决策。</w:t>
      </w:r>
    </w:p>
    <w:p>
      <w:pPr>
        <w:pStyle w:val="Heading3"/>
        <w:keepNext/>
      </w:pPr>
      <w:r>
        <w:rPr>
          <w:rFonts w:ascii="Times New Roman" w:hAnsi="Times New Roman" w:eastAsia="Microsoft YaHei"/>
        </w:rPr>
        <w:t>3.4.2 主要品种的农艺性状差异</w:t>
      </w:r>
    </w:p>
    <w:p>
      <w:pPr/>
      <w:r>
        <w:rPr>
          <w:rFonts w:ascii="Times New Roman" w:hAnsi="Times New Roman" w:eastAsia="Microsoft YaHei"/>
        </w:rPr>
        <w:t>主要品种之间的差异，不仅体现在 `GY` 的绝对高低上，也体现在各品种是否形成了相对稳定的表现区间。就主要品种的分布形态而言，`98R30 CE` 和 `ADAPTA LTT 8402 IPRO` 虽然处于更高产的层级，但其箱体与须也更长，说明这类品种在试验中的表现波动更大，潜在收益与不确定性同时存在；相对地，`77HO111I2X - GUAPORÉ` 的分布更紧凑、离群点更少，反映出其 `GY` 水平偏低，但一致性更强。这意味着品种差异并非单纯表现为“高产”或“低产”，而是同时包含“中心水平差异”和“稳定性差异”两个维度，高产品种未必最稳，稳产品种也未必具备最高产量潜力。</w:t>
      </w:r>
    </w:p>
    <w:p>
      <w:pPr>
        <w:spacing w:before="200" w:after="80"/>
        <w:jc w:val="center"/>
      </w:pPr>
      <w:r>
        <w:drawing>
          <wp:inline xmlns:a="http://schemas.openxmlformats.org/drawingml/2006/main" xmlns:pic="http://schemas.openxmlformats.org/drawingml/2006/picture">
            <wp:extent cx="3291839" cy="2116182"/>
            <wp:docPr id="23" name="Picture 23"/>
            <wp:cNvGraphicFramePr>
              <a:graphicFrameLocks noChangeAspect="1"/>
            </wp:cNvGraphicFramePr>
            <a:graphic>
              <a:graphicData uri="http://schemas.openxmlformats.org/drawingml/2006/picture">
                <pic:pic>
                  <pic:nvPicPr>
                    <pic:cNvPr id="0" name="image.png"/>
                    <pic:cNvPicPr/>
                  </pic:nvPicPr>
                  <pic:blipFill>
                    <a:blip r:embed="rId3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图23 主要品种gy差异与稳定性</w:t>
      </w:r>
    </w:p>
    <w:p>
      <w:pPr/>
      <w:r>
        <w:rPr>
          <w:rFonts w:ascii="Times New Roman" w:hAnsi="Times New Roman" w:eastAsia="Microsoft YaHei"/>
        </w:rPr>
        <w:t>从平均水平的比较看，主要品种之间已经形成了较清晰的梯队结构。`98R30 CE` 处于第一梯队，平均 `GY` 领先优势最明显；`BRASMAX OLIMPO IPRO`、`MONSOY 8330I2X`、`FORTALEZA IPRO` 等品种位于中上水平，说明它们具备一定竞争力，但与头部材料之间仍存在可辨识差距；`77HO111I2X - GUAPORÉ` 则明显落后于其他主要品种。与此同时，部分品种平均值周围的波动范围较大，提示其表面上的较高水平未必能够稳定复现。对于主要品种的农艺表现判断，应将这类差异理解为品种效应的综合体现：既要看平均表现处于什么层级，也要看该层级是否伴随较大的组内波动。</w:t>
      </w:r>
    </w:p>
    <w:p>
      <w:pPr>
        <w:spacing w:before="200" w:after="80"/>
        <w:jc w:val="center"/>
      </w:pPr>
      <w:r>
        <w:drawing>
          <wp:inline xmlns:a="http://schemas.openxmlformats.org/drawingml/2006/main" xmlns:pic="http://schemas.openxmlformats.org/drawingml/2006/picture">
            <wp:extent cx="3291839" cy="2116182"/>
            <wp:docPr id="24" name="Picture 24"/>
            <wp:cNvGraphicFramePr>
              <a:graphicFrameLocks noChangeAspect="1"/>
            </wp:cNvGraphicFramePr>
            <a:graphic>
              <a:graphicData uri="http://schemas.openxmlformats.org/drawingml/2006/picture">
                <pic:pic>
                  <pic:nvPicPr>
                    <pic:cNvPr id="0" name="image.png"/>
                    <pic:cNvPicPr/>
                  </pic:nvPicPr>
                  <pic:blipFill>
                    <a:blip r:embed="rId3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图24 top品种平均gy比较</w:t>
      </w:r>
    </w:p>
    <w:p>
      <w:pPr/>
      <w:r>
        <w:rPr>
          <w:rFonts w:ascii="Times New Roman" w:hAnsi="Times New Roman" w:eastAsia="Microsoft YaHei"/>
        </w:rPr>
        <w:t>结合前一节关于品种产量差异的结论，可以进一步将主要品种区分为两类值得重点关注的材料：一类是具备较高 `GY` 潜力但波动偏大的品种，如 `98R30 CE` 和 `ADAPTA LTT 8402 IPRO`，更适合在环境和管理条件匹配度较高的情形下争取高收益；另一类是表现更紧凑、更接近稳产特征的品种，虽然上限不突出，但在一致性方面更具参考价值。对育种筛选和推广决策而言，前者适合作为高潜力候选材料继续验证其适应边界，后者则更适合作为稳健性参照，避免仅依据单次高值或均值排序作出片面的品种判断。</w:t>
      </w:r>
    </w:p>
    <w:p>
      <w:pPr>
        <w:pStyle w:val="Heading3"/>
        <w:keepNext/>
      </w:pPr>
      <w:r>
        <w:rPr>
          <w:rFonts w:ascii="Times New Roman" w:hAnsi="Times New Roman" w:eastAsia="Microsoft YaHei"/>
        </w:rPr>
        <w:t>3.4.3 长尾品种的表现特征</w:t>
      </w:r>
    </w:p>
    <w:p>
      <w:pPr/>
      <w:r>
        <w:rPr>
          <w:rFonts w:ascii="Times New Roman" w:hAnsi="Times New Roman" w:eastAsia="Microsoft YaHei"/>
        </w:rPr>
        <w:t>长尾品种的分析重点，不在于判断其是否已经形成稳定优势，而在于识别“低频出现”本身给解释带来的不确定性。已有样本结构显示，`Cultivar` 分布明显不均衡，除少数头部品种外，大量样本被归入频次较低的尾部类别，且不少具体品种的出现次数彼此接近但都处于较低水平。这意味着尾部品种虽然同样参与了试验比较，但其观测基础明显弱于主要品种，因此任何偏高或偏低的表现，都更需要谨慎理解，不能直接等同于稳定的品种效应。</w:t>
      </w:r>
    </w:p>
    <w:p>
      <w:pPr/>
      <w:r>
        <w:rPr>
          <w:rFonts w:ascii="Times New Roman" w:hAnsi="Times New Roman" w:eastAsia="Microsoft YaHei"/>
        </w:rPr>
        <w:t>对于这类低频品种，首先要区分“真实差异”与“样本偶然性”。在本数据中，多数连续性状整体都围绕 0 附近分布，但 `NLP`、`NGP`、`NGL` 和 `NS` 等指标存在不同程度的右偏与高值长尾，`GY` 两端也有少量离群表现。若某个长尾品种恰好落在这些尾部区域，它确实可能对应特殊农艺表现或潜在高产材料，但也可能只是因为观测次数较少，导致单次异常值对该品种的整体印象被放大。换言之，长尾品种更容易出现“看起来很突出”，但这种突出未必具有可重复性。</w:t>
      </w:r>
    </w:p>
    <w:p>
      <w:pPr/>
      <w:r>
        <w:rPr>
          <w:rFonts w:ascii="Times New Roman" w:hAnsi="Times New Roman" w:eastAsia="Microsoft YaHei"/>
        </w:rPr>
        <w:t>与主要品种相比，长尾品种在均值判断上的可信度通常更弱。主要品种由于出现频次更高，平均水平和波动区间更接近其真实表现；而低频品种即使均值暂时领先，也可能只是由少数高值观测抬升形成。尤其当相关性状本身带有右尾或离群点时，尾部品种的相对排序会更加敏感，既容易被少量优异观测推高，也可能被单次异常低值拉低。因此，对长尾品种的比较不宜简单套用头部品种的排序逻辑，更适合将其视为“待验证对象”，而不是直接纳入稳定梯队判断。</w:t>
      </w:r>
    </w:p>
    <w:p>
      <w:pPr/>
      <w:r>
        <w:rPr>
          <w:rFonts w:ascii="Times New Roman" w:hAnsi="Times New Roman" w:eastAsia="Microsoft YaHei"/>
        </w:rPr>
        <w:t>从业务解释上看，长尾品种更适合作为线索来源，而不是立即形成推广结论。如果某些低频品种在 `GY` 或若干关键农艺性状上持续偏离总体中心，它们仍然具有进一步关注价值，因为这可能提示了尚未被充分观察到的优势材料；但在当前证据条件下，这类信号首先应被理解为“值得追加验证”，而不是“已经证实优于主要品种”。特别是当一个品种只在少量观测中出现较高 `NGL`、`NGP` 或较优 `GY` 时，更需要结合后续季次、重复和补充试验确认其表现是否稳定复现。</w:t>
      </w:r>
    </w:p>
    <w:p>
      <w:pPr/>
      <w:r>
        <w:rPr>
          <w:rFonts w:ascii="Times New Roman" w:hAnsi="Times New Roman" w:eastAsia="Microsoft YaHei"/>
        </w:rPr>
        <w:t>因此，长尾品种的核心特征不是简单的高低表现，而是“信息不足条件下的高不确定性”。它们可能包含被头部品种分析掩盖的潜力材料，也可能只是由低频样本放大的偶然波动。对这部分品种进行判断时，应弱化单次结果的决定作用，强化跨季次、跨重复的持续观察。只有当低频品种在新增观测中仍能保持相近方向和幅度的表现，其农艺优势或劣势才更接近可用于筛选决策的稳定结论。</w:t>
      </w:r>
    </w:p>
    <w:p>
      <w:pPr>
        <w:pStyle w:val="Heading2"/>
        <w:keepNext/>
      </w:pPr>
      <w:r>
        <w:rPr>
          <w:rFonts w:ascii="Times New Roman" w:hAnsi="Times New Roman" w:eastAsia="Microsoft YaHei"/>
        </w:rPr>
        <w:t>3.5 重复条件下的一致性与波动</w:t>
      </w:r>
    </w:p>
    <w:p>
      <w:pPr/>
      <w:r>
        <w:rPr>
          <w:rFonts w:ascii="Times New Roman" w:hAnsi="Times New Roman" w:eastAsia="Microsoft YaHei"/>
        </w:rPr>
        <w:t>在重复条件下，首先可以确认的是试验设计本身具备良好的可比性。已有样本结构信息表明，4 个 `Repetition` 组的样本计数完全一致，说明不同重复之间不存在因样本量差异带来的结构性偏差。因此，本节对一致性与波动的判断，重点不在于“哪一组数据更多”，而在于在相同观测基础上，各重复下的 `GY` 及相关农艺性状是否呈现出接近的中心水平、相似的离散程度，以及是否出现某些重复特有的异常偏移。</w:t>
      </w:r>
    </w:p>
    <w:p>
      <w:pPr/>
      <w:r>
        <w:rPr>
          <w:rFonts w:ascii="Times New Roman" w:hAnsi="Times New Roman" w:eastAsia="Microsoft YaHei"/>
        </w:rPr>
        <w:t>从整体分布特征看，`GY` 在全样本范围内以 0 附近为中心，整体近似对称，离散度中等，仅在两端存在少量离群值。这一模式说明产量表现总体并未出现大面积单边偏移，也意味着若重复条件控制较好，不同 `Repetition` 间的 `GY` 理应以相近区间波动，而不应形成系统性高低分层。换言之，重复间更值得关注的是局部异常值是否集中于某一组，以及这种集中究竟反映真实田间微环境差异，还是偶发观测波动。</w:t>
      </w:r>
    </w:p>
    <w:p>
      <w:pPr/>
      <w:r>
        <w:rPr>
          <w:rFonts w:ascii="Times New Roman" w:hAnsi="Times New Roman" w:eastAsia="Microsoft YaHei"/>
        </w:rPr>
        <w:t>对农艺性状而言，重复条件下的一致性并不必然表现为所有指标都同样稳定，而是会受到各变量自身分布形态的影响。`PH`、`IFP` 和 `MHG` 的总体分布相对集中，其中 `MHG` 近似对称、离散程度中等，`IFP` 主要集中在 0 附近、仅有少量两端离群值，这类指标更适合用于观察重复条件下的常规稳定性；若不同重复之间出现明显偏离，更可能提示局部处理差异或记录异常。相比之下，`NLP`、`NGP`、`NGL` 和 `NS` 本身就带有不同程度的右偏和高值长尾，少量高值样本会显著拉伸分布，因此在比较重复差异时，不能仅凭均值变化就判断某一重复“表现更好”或“更差”，还应同时关注是否由极少数高值观测驱动。</w:t>
      </w:r>
    </w:p>
    <w:p>
      <w:pPr/>
      <w:r>
        <w:rPr>
          <w:rFonts w:ascii="Times New Roman" w:hAnsi="Times New Roman" w:eastAsia="Microsoft YaHei"/>
        </w:rPr>
        <w:t>这意味着，重复条件下的波动需要区分“整体平移”与“尾部拉伸”两类情形。若某一重复在 `GY` 或关键性状上只是因为少量高值或低值样本而显得更分散，其含义更接近局部异常或偶发波动；而只有当一个重复在中心位置、箱体范围和尾部形态上都持续偏离其他重复时，才更有理由怀疑存在重复条件相关的系统性影响。结合当前素材所呈现的总体分布特征，数据更支持“多数指标整体稳定、少数观测形成尾部扰动”的判断，而不是“不同重复之间存在显著结构性差异”的判断。</w:t>
      </w:r>
    </w:p>
    <w:p>
      <w:pPr/>
      <w:r>
        <w:rPr>
          <w:rFonts w:ascii="Times New Roman" w:hAnsi="Times New Roman" w:eastAsia="Microsoft YaHei"/>
        </w:rPr>
        <w:t>从解释层面看，`Repetition` 的作用更像是为稳定性检验提供一个受控框架。由于各重复样本量高度均衡，若某些品种或季次下出现突出的高值、低值或更宽的波动区间，就可以更有针对性地追踪这些现象是否在多个重复中重复出现。若某种表现只集中于单一重复，其证据强度通常弱于在多个重复中同步出现的模式；反之，若同一方向的变化能够跨重复复现，则更可能对应真实的品种效应、季节效应或管理差异，而非偶然扰动。</w:t>
      </w:r>
    </w:p>
    <w:p>
      <w:pPr/>
      <w:r>
        <w:rPr>
          <w:rFonts w:ascii="Times New Roman" w:hAnsi="Times New Roman" w:eastAsia="Microsoft YaHei"/>
        </w:rPr>
        <w:t>因此，本节关于重复条件的核心结论，不是简单地将 `Repetition` 视为独立的差异来源，而是将其作为检验结果稳健性的参照维度来理解。当前证据显示，重复层面的样本结构非常规范，整体分布也未提示普遍性的失衡现象，这为判断 `GY` 与各农艺性状的稳定性提供了较可靠前提。在此基础上，后续对重复间 `GY` 波动、性状稳定性及其与 `Season`、`Cultivar` 的联动分析，应重点识别哪些变化能够跨重复保持一致，哪些则仅属于局部波动，从而把“真实可复现的信号”与“单次试验噪声”区分开来。</w:t>
      </w:r>
    </w:p>
    <w:p>
      <w:pPr>
        <w:pStyle w:val="Heading3"/>
        <w:keepNext/>
      </w:pPr>
      <w:r>
        <w:rPr>
          <w:rFonts w:ascii="Times New Roman" w:hAnsi="Times New Roman" w:eastAsia="Microsoft YaHei"/>
        </w:rPr>
        <w:t>3.5.1 不同重复的GY波动</w:t>
      </w:r>
    </w:p>
    <w:p>
      <w:pPr/>
      <w:r>
        <w:rPr>
          <w:rFonts w:ascii="Times New Roman" w:hAnsi="Times New Roman" w:eastAsia="Microsoft YaHei"/>
        </w:rPr>
        <w:t>在重复维度上，`GY` 的比较重点是判断各组之间是否存在系统性偏移，以及波动范围是否保持一致。箱线图显示，4 个 `Repetition` 组的箱体位置与高度都较为接近，中位数均落在 0 附近，四分位距和上下须长度也没有明显分层，说明不同重复下的产量中心水平基本一致，离散程度相近，未见某一重复持续高于或低于其他组的现象。这表明 `GY` 在重复条件下具有较好的可重复性，重复试验并未引入显著的方向性偏差。</w:t>
      </w:r>
    </w:p>
    <w:p>
      <w:pPr>
        <w:spacing w:before="200" w:after="80"/>
        <w:jc w:val="center"/>
      </w:pPr>
      <w:r>
        <w:drawing>
          <wp:inline xmlns:a="http://schemas.openxmlformats.org/drawingml/2006/main" xmlns:pic="http://schemas.openxmlformats.org/drawingml/2006/picture">
            <wp:extent cx="3291839" cy="2116182"/>
            <wp:docPr id="25" name="Picture 25"/>
            <wp:cNvGraphicFramePr>
              <a:graphicFrameLocks noChangeAspect="1"/>
            </wp:cNvGraphicFramePr>
            <a:graphic>
              <a:graphicData uri="http://schemas.openxmlformats.org/drawingml/2006/picture">
                <pic:pic>
                  <pic:nvPicPr>
                    <pic:cNvPr id="0" name="image.png"/>
                    <pic:cNvPicPr/>
                  </pic:nvPicPr>
                  <pic:blipFill>
                    <a:blip r:embed="rId3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图25 不同重复gy分布比较</w:t>
      </w:r>
    </w:p>
    <w:p>
      <w:pPr/>
      <w:r>
        <w:rPr>
          <w:rFonts w:ascii="Times New Roman" w:hAnsi="Times New Roman" w:eastAsia="Microsoft YaHei"/>
        </w:rPr>
        <w:t>从分布形态进一步观察，小提琴图中各重复组的密度轮廓较为相似，数据主要集中在 0 附近，上下延展范围也较接近，说明不同重复之间不仅中位水平变化有限，整体分布结构也保持了较高一致性。各组虽存在少量高低值波动，但这些波动更接近局部离群表现，而不是由重复条件本身造成的整体分布迁移。结合这一结果，可以认为 `GY` 受重复次数带来的额外扰动较小，当前试验结果在重复层面具有较强稳定性，也为后续比较 `Season`、`Cultivar` 等因素对产量的影响提供了相对可靠的基础。</w:t>
      </w:r>
    </w:p>
    <w:p>
      <w:pPr>
        <w:spacing w:before="200" w:after="80"/>
        <w:jc w:val="center"/>
      </w:pPr>
      <w:r>
        <w:drawing>
          <wp:inline xmlns:a="http://schemas.openxmlformats.org/drawingml/2006/main" xmlns:pic="http://schemas.openxmlformats.org/drawingml/2006/picture">
            <wp:extent cx="3291839" cy="2116182"/>
            <wp:docPr id="26" name="Picture 26"/>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图26 不同重复间gy分布比较</w:t>
      </w:r>
    </w:p>
    <w:p>
      <w:pPr/>
      <w:r>
        <w:rPr>
          <w:rFonts w:ascii="Times New Roman" w:hAnsi="Times New Roman" w:eastAsia="Microsoft YaHei"/>
        </w:rPr>
        <w:t>需要注意的是，少量离群值仍提示个别样本在某些重复中存在异常高值或低值表现。就当前证据而言，这些偏离更适合被理解为局部波动，而不足以支持某一重复存在系统性问题。后续若需进一步解释这些异常点，应结合具体品种表现、季次条件及田间管理差异进行追踪，而不宜仅依据重复编号本身作出产量差异判断。</w:t>
      </w:r>
    </w:p>
    <w:p>
      <w:pPr>
        <w:pStyle w:val="Heading3"/>
        <w:keepNext/>
      </w:pPr>
      <w:r>
        <w:rPr>
          <w:rFonts w:ascii="Times New Roman" w:hAnsi="Times New Roman" w:eastAsia="Microsoft YaHei"/>
        </w:rPr>
        <w:t>3.5.2 不同重复的性状稳定性</w:t>
      </w:r>
    </w:p>
    <w:p>
      <w:pPr/>
      <w:r>
        <w:rPr>
          <w:rFonts w:ascii="Times New Roman" w:hAnsi="Times New Roman" w:eastAsia="Microsoft YaHei"/>
        </w:rPr>
        <w:t>在农艺性状层面，重复条件下的稳定性判断应更关注各指标是否维持相近的中心位置与波动范围，而不是简单比较某一重复是否出现了更高取值。由于 4 个 `Repetition` 组在样本量上完全均衡，因而不同重复之间的性状差异若存在，更可能来自真实观测波动，而不是由样本结构不一致造成的偏差。就全样本分布特征而言，多数性状都集中在 0 附近，这为判断重复间一致性提供了一个明确参照：如果重复控制良好，各组分布应大体围绕相似中心展开，而不应出现持续性的整体偏移。</w:t>
      </w:r>
    </w:p>
    <w:p>
      <w:pPr/>
      <w:r>
        <w:rPr>
          <w:rFonts w:ascii="Times New Roman" w:hAnsi="Times New Roman" w:eastAsia="Microsoft YaHei"/>
        </w:rPr>
        <w:t>从指标类型看，`PH`、`IFP` 和 `MHG` 更适合用来观察重复层面的常规稳定性。`PH` 虽然离散度相对较大，但总体仍以 0 附近为中心，仅伴随少量高值离群点；`IFP` 呈单峰分布，主要集中在 0 附近，两端仅有少数异常值；`MHG` 则近似对称、离散程度中等。这类指标的共同特点是主体分布较集中、极端值占比有限，因此若在不同 `Repetition` 中出现明显分层，通常更值得警惕。结合已有整体分布信息，目前并没有证据表明这些性状在重复之间存在显著的系统性漂移，更合理的理解是它们在重复条件下保持了较好的常规稳定性。</w:t>
      </w:r>
    </w:p>
    <w:p>
      <w:pPr/>
      <w:r>
        <w:rPr>
          <w:rFonts w:ascii="Times New Roman" w:hAnsi="Times New Roman" w:eastAsia="Microsoft YaHei"/>
        </w:rPr>
        <w:t>相比之下，`NLP`、`NGP`、`NGL` 和 `NS` 的重复稳定性需要更谨慎解读。这几项指标本身就具有不同程度的右偏特征，且伴随高值长尾或少量高值离群点，说明组间波动很容易被少数极端观测放大。在这种分布背景下，即使某一重复的均值或上尾略高，也不能直接视为该重复下性状表现更优，更可能只是尾部样本暂时拉伸了分布范围。特别是 `NGP` 与 `NGL` 的右偏更明显，若仅根据平均水平作比较，容易把尾部异常误判为重复间的真实差异。</w:t>
      </w:r>
    </w:p>
    <w:p>
      <w:pPr/>
      <w:r>
        <w:rPr>
          <w:rFonts w:ascii="Times New Roman" w:hAnsi="Times New Roman" w:eastAsia="Microsoft YaHei"/>
        </w:rPr>
        <w:t>因此，本节对不同重复的性状稳定性可以作出较为审慎的判断：多数农艺性状在重复条件下并未显示出明确的方向性分层，重复带来的影响更像是局部波动幅度的差别，而非整体分布中心的迁移。对于分布较规则的指标，可将这种表现理解为重复试验具有较好的再现性；对于右偏和长尾更明显的指标，则应把观察重点放在异常高值是否集中于个别重复，而不是仓促认定重复本身造成了系统差异。</w:t>
      </w:r>
    </w:p>
    <w:p>
      <w:pPr/>
      <w:r>
        <w:rPr>
          <w:rFonts w:ascii="Times New Roman" w:hAnsi="Times New Roman" w:eastAsia="Microsoft YaHei"/>
        </w:rPr>
        <w:t>从试验解释角度看，当前证据更支持“重复条件总体稳定、个别性状存在尾部扰动”的结论。也就是说，`Repetition` 对主要农艺性状的影响没有显示出一致而持续的偏移模式，重复编号本身不是造成性状差异的首要来源。后续若要进一步识别局部异常，应结合 `Season`、`Cultivar` 以及具体样本记录共同判断，避免将由少数高值观测引起的分布拉伸，误解为重复条件下的普遍性不稳定。</w:t>
      </w:r>
    </w:p>
    <w:p>
      <w:pPr>
        <w:pStyle w:val="Heading3"/>
        <w:keepNext/>
      </w:pPr>
      <w:r>
        <w:rPr>
          <w:rFonts w:ascii="Times New Roman" w:hAnsi="Times New Roman" w:eastAsia="Microsoft YaHei"/>
        </w:rPr>
        <w:t>3.5.3 重复与其他分组因素交互</w:t>
      </w:r>
    </w:p>
    <w:p>
      <w:pPr/>
      <w:r>
        <w:rPr>
          <w:rFonts w:ascii="Times New Roman" w:hAnsi="Times New Roman" w:eastAsia="Microsoft YaHei"/>
        </w:rPr>
        <w:t>在将 `Repetition` 与 `Season` 一并考虑时，当前数据首先呈现出的特征不是复杂交互，而是较强的结构均衡性。`Season 1` 与 `Season 2` 的样本量几乎完全一致，4 个重复组的计数也完全相同，这意味着不同季次中的重复比较具备良好的可比基础。基于这一前提，如果后续观察到某一季次下个别重复出现更高波动，更合理的解释应优先指向该季次中的局部观测差异，而不是样本分配不均导致的表观偏移。换言之，`Repetition` 与 `Season` 的联动更适合被理解为“在均衡设计下检验稳定性”，而非“由结构失衡造成差异”。</w:t>
      </w:r>
    </w:p>
    <w:p>
      <w:pPr/>
      <w:r>
        <w:rPr>
          <w:rFonts w:ascii="Times New Roman" w:hAnsi="Times New Roman" w:eastAsia="Microsoft YaHei"/>
        </w:rPr>
        <w:t>结合前文对 `GY` 和各农艺性状在重复维度上的表现，可以对这种季次联动作出更谨慎的判断。`GY` 整体在不同重复之间未表现出明确的系统性偏移，多数性状的中心位置也大体围绕 0 附近展开，因此若把 `Season` 进一步纳入考察，较可能出现的是不同季次内部波动幅度略有差别，而不是某一重复在所有季次中持续表现为更高或更低。对于 `PH`、`IFP`、`MHG` 这类主体分布较集中的指标，如果在某个季次中只有单一重复出现明显偏离，更应关注当次环境、记录或局部管理因素；若 4 个重复在同一季次内仍保持相近分布，则可以进一步说明季次变化并未显著破坏重复一致性。</w:t>
      </w:r>
    </w:p>
    <w:p>
      <w:pPr/>
      <w:r>
        <w:rPr>
          <w:rFonts w:ascii="Times New Roman" w:hAnsi="Times New Roman" w:eastAsia="Microsoft YaHei"/>
        </w:rPr>
        <w:t>`Repetition` 与 `Cultivar` 的联动解释则需要比季次关系更保守。原因不在于重复设计本身，而在于 `Cultivar` 的样本结构明显不均衡，尤其“Other”这一合并类别远高于其他具体品种，而其余品种多处于低频、长尾状态。在这种分布下，某个重复中若恰好包含更多来自“Other”或少数高表现品种的观测，就可能在 `GY`、`NLP`、`NGP`、`NGL`、`NS` 等偏态较明显的指标上表现出更宽的上尾或更突出的高值点。这类现象未必意味着重复效应增强，更可能是品种构成差异在重复层面上的投射。</w:t>
      </w:r>
    </w:p>
    <w:p>
      <w:pPr/>
      <w:r>
        <w:rPr>
          <w:rFonts w:ascii="Times New Roman" w:hAnsi="Times New Roman" w:eastAsia="Microsoft YaHei"/>
        </w:rPr>
        <w:t>尤其对于 `NLP`、`NGP`、`NGL` 和 `NS` 这类本身带有右偏长尾的性状，重复与品种的联动很容易被少量高值样本放大。如果某一 `Cultivar` 在某个 `Repetition` 中出现了集中高值，该重复下的均值、波动范围甚至上尾长度都可能被显著抬高，但这更接近特定品种表现或个别极端观测的叠加结果，而不能直接归因为重复处理本身。相较之下，若 `PH`、`IFP`、`MHG` 这类分布更稳定的指标在多个品种上都同步呈现同方向偏移，才更值得进一步怀疑是否存在重复与品种之间的真实交互影响。</w:t>
      </w:r>
    </w:p>
    <w:p>
      <w:pPr/>
      <w:r>
        <w:rPr>
          <w:rFonts w:ascii="Times New Roman" w:hAnsi="Times New Roman" w:eastAsia="Microsoft YaHei"/>
        </w:rPr>
        <w:t>从解释逻辑上看，本节更重要的结论是：`Repetition` 在本数据中更像一个稳定性检验维度，而不是主导差异来源的核心因素；真正可能改变重复表现的，往往是 `Season` 中的局部环境波动或 `Cultivar` 中的异质性结构。由于季次样本均衡、重复样本也均衡，`Repetition × Season` 的联动暂未显示出明显的系统性风险；而由于品种分布长尾且“Other”占比较高，`Repetition × Cultivar` 的联动更容易受到样本构成影响，解释时应避免把品种异质性误读为重复差异。</w:t>
      </w:r>
    </w:p>
    <w:p>
      <w:pPr/>
      <w:r>
        <w:rPr>
          <w:rFonts w:ascii="Times New Roman" w:hAnsi="Times New Roman" w:eastAsia="Microsoft YaHei"/>
        </w:rPr>
        <w:t>因此，在后续针对异常高值、局部波动或潜在优势组合做追踪时，更合适的路径不是单独比较重复编号，而是优先定位“某一 `Season` 下的特定 `Cultivar` 是否在某个 `Repetition` 中集中出现异常表现”。只有当同一方向的偏移在多个品种或多个季次中重复出现，才有必要进一步讨论重复与其他分组因素之间是否存在更稳定的交互作用。就当前证据而言，重复与其他分组因素的关系主要体现为对局部差异的放大或显露，而不足以支持其构成独立而稳定的系统性影响。</w:t>
      </w:r>
    </w:p>
    <w:p>
      <w:pPr>
        <w:pStyle w:val="Heading2"/>
        <w:keepNext/>
      </w:pPr>
      <w:r>
        <w:rPr>
          <w:rFonts w:ascii="Times New Roman" w:hAnsi="Times New Roman" w:eastAsia="Microsoft YaHei"/>
        </w:rPr>
        <w:t>3.6 农艺性状与GY的关联结构</w:t>
      </w:r>
    </w:p>
    <w:p>
      <w:pPr/>
      <w:r>
        <w:rPr>
          <w:rFonts w:ascii="Times New Roman" w:hAnsi="Times New Roman" w:eastAsia="Microsoft YaHei"/>
        </w:rPr>
        <w:t>围绕 `GY` 与农艺性状的关联进行观察时，当前数据首先呈现出的不是某一单一指标的强解释关系，而是多性状共同作用下的弱到中等关联格局。相关性矩阵显示，大多数变量之间的线性相关程度并不高，这说明产量变化难以由单个农艺指标独立概括；即便某些性状与 `GY` 存在同向变化，也更适合被理解为潜在线索而非充分条件。相比之下，粒数相关指标之间的联动更为明显，尤其 `NLP` 与 `NGP`、`NGL` 与 `NGP` 表现出较强正相关，表明这些变量在信息上存在较强共变关系，也提示粒数维度可能构成解释产量差异的重要中间结构。</w:t>
      </w:r>
    </w:p>
    <w:p>
      <w:pPr>
        <w:spacing w:before="200" w:after="80"/>
        <w:jc w:val="center"/>
      </w:pPr>
      <w:r>
        <w:drawing>
          <wp:inline xmlns:a="http://schemas.openxmlformats.org/drawingml/2006/main" xmlns:pic="http://schemas.openxmlformats.org/drawingml/2006/picture">
            <wp:extent cx="3291839" cy="2116182"/>
            <wp:docPr id="27" name="Picture 27"/>
            <wp:cNvGraphicFramePr>
              <a:graphicFrameLocks noChangeAspect="1"/>
            </wp:cNvGraphicFramePr>
            <a:graphic>
              <a:graphicData uri="http://schemas.openxmlformats.org/drawingml/2006/picture">
                <pic:pic>
                  <pic:nvPicPr>
                    <pic:cNvPr id="0" name="image.png"/>
                    <pic:cNvPicPr/>
                  </pic:nvPicPr>
                  <pic:blipFill>
                    <a:blip r:embed="rId3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图27 ph等性状相关性矩阵</w:t>
      </w:r>
    </w:p>
    <w:p>
      <w:pPr/>
      <w:r>
        <w:rPr>
          <w:rFonts w:ascii="Times New Roman" w:hAnsi="Times New Roman" w:eastAsia="Microsoft YaHei"/>
        </w:rPr>
        <w:t>这种相关结构具有两层含义。其一，从解释 `GY` 的角度看，粒数类指标虽然更活跃，但它们之间相关性较强，也意味着信息可能部分重叠，不能把多个同类指标简单累加后视为对产量驱动的独立证据。其二，从实际筛选角度看，若希望在早期评价中寻找与产量更接近的辅助性状，优先关注与 `NGP` 联动更紧密的指标是合理的，但仍需同时结合 `PH`、`GY` 及其他性状综合判断，避免因过度依赖单一相关关系而忽略材料表现的多维性。换言之，当前关联结构更支持“联合判读”，而不支持“用一个指标替代产量”。</w:t>
      </w:r>
    </w:p>
    <w:p>
      <w:pPr/>
      <w:r>
        <w:rPr>
          <w:rFonts w:ascii="Times New Roman" w:hAnsi="Times New Roman" w:eastAsia="Microsoft YaHei"/>
        </w:rPr>
        <w:t>`GY` 与 `NGP` 的散点关系进一步说明了这种判断。在两季数据中，`NGP` 增加时 `GY` 通常呈现上升趋势，但整体只表现为弱正相关，斜率方向明确而强度有限。多数样本集中在较低 `NGP` 区间，说明常规材料主要分布在相对集中的粒数水平内；与此同时，少量高 `NGP` 观测形成上尾离散点，提示个别材料或局部环境条件可能带来更突出的粒数表现。但这些高值点并未对应出同等强度、同样整齐的 `GY` 抬升，因此单纯提高 `NGP` 并不足以稳定解释增产结果。</w:t>
      </w:r>
    </w:p>
    <w:p>
      <w:pPr>
        <w:spacing w:before="200" w:after="80"/>
        <w:jc w:val="center"/>
      </w:pPr>
      <w:r>
        <w:drawing>
          <wp:inline xmlns:a="http://schemas.openxmlformats.org/drawingml/2006/main" xmlns:pic="http://schemas.openxmlformats.org/drawingml/2006/picture">
            <wp:extent cx="3291839" cy="2116182"/>
            <wp:docPr id="28" name="Picture 28"/>
            <wp:cNvGraphicFramePr>
              <a:graphicFrameLocks noChangeAspect="1"/>
            </wp:cNvGraphicFramePr>
            <a:graphic>
              <a:graphicData uri="http://schemas.openxmlformats.org/drawingml/2006/picture">
                <pic:pic>
                  <pic:nvPicPr>
                    <pic:cNvPr id="0" name="image.png"/>
                    <pic:cNvPicPr/>
                  </pic:nvPicPr>
                  <pic:blipFill>
                    <a:blip r:embed="rId3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图28 不同季节gy与ngp关系</w:t>
      </w:r>
    </w:p>
    <w:p>
      <w:pPr/>
      <w:r>
        <w:rPr>
          <w:rFonts w:ascii="Times New Roman" w:hAnsi="Times New Roman" w:eastAsia="Microsoft YaHei"/>
        </w:rPr>
        <w:t>由此可以对本节作出较为审慎的归纳：`GY` 与农艺性状之间确实存在可识别的关联线索，尤其粒数相关指标构成了较清晰的共变模块，但这种关系整体仍偏弱，尚不足以支持“单指标决定产量”的判断。对高产潜力的识别，更适合在 `NGP` 等关键性状提供方向性提示的基础上，结合季次差异、品种背景以及其他农艺指标同步评估。这样的解释既能保留相关分析提供的筛选价值，也能避免把局部线性关系误读为稳定的产量因果机制。</w:t>
      </w:r>
    </w:p>
    <w:p>
      <w:pPr>
        <w:pStyle w:val="Heading3"/>
        <w:keepNext/>
      </w:pPr>
      <w:r>
        <w:rPr>
          <w:rFonts w:ascii="Times New Roman" w:hAnsi="Times New Roman" w:eastAsia="Microsoft YaHei"/>
        </w:rPr>
        <w:t>3.6.1 关键农艺指标与GY关系</w:t>
      </w:r>
    </w:p>
    <w:p>
      <w:pPr/>
      <w:r>
        <w:rPr>
          <w:rFonts w:ascii="Times New Roman" w:hAnsi="Times New Roman" w:eastAsia="Microsoft YaHei"/>
        </w:rPr>
        <w:t>从主要性状与 `GY` 的散点关系看，当前数据更支持“存在同向关联线索，但强度有限”的判断，而不支持用单一农艺指标直接刻画产量变化。`MHG` 与 `GY` 在两季中均呈弱正相关，随着 `MHG` 提高，`GY` 有小幅上升趋势，但点云分布较为分散，说明这种关系并不稳定，样本间差异仍然较大。两季拟合方向基本一致、差异不明显，也表明季次并未显著改变这组关系的方向；相较于季节本身，品种、重复以及其他性状的共同作用更可能是造成产量波动的重要来源。</w:t>
      </w:r>
    </w:p>
    <w:p>
      <w:pPr>
        <w:spacing w:before="200" w:after="80"/>
        <w:jc w:val="center"/>
      </w:pPr>
      <w:r>
        <w:drawing>
          <wp:inline xmlns:a="http://schemas.openxmlformats.org/drawingml/2006/main" xmlns:pic="http://schemas.openxmlformats.org/drawingml/2006/picture">
            <wp:extent cx="3291839" cy="2116182"/>
            <wp:docPr id="29" name="Picture 29"/>
            <wp:cNvGraphicFramePr>
              <a:graphicFrameLocks noChangeAspect="1"/>
            </wp:cNvGraphicFramePr>
            <a:graphic>
              <a:graphicData uri="http://schemas.openxmlformats.org/drawingml/2006/picture">
                <pic:pic>
                  <pic:nvPicPr>
                    <pic:cNvPr id="0" name="image.png"/>
                    <pic:cNvPicPr/>
                  </pic:nvPicPr>
                  <pic:blipFill>
                    <a:blip r:embed="rId3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图29 两季gy与mhg关系</w:t>
      </w:r>
    </w:p>
    <w:p>
      <w:pPr/>
      <w:r>
        <w:rPr>
          <w:rFonts w:ascii="Times New Roman" w:hAnsi="Times New Roman" w:eastAsia="Microsoft YaHei"/>
        </w:rPr>
        <w:t>粒长相关指标 `NGL` 与 `GY` 也表现出类似特征。两季中 `NGL` 增加时，`GY` 整体仅有轻微上升，相关方向为正，但解释力度偏弱。散点离散度较高，说明即使在相近的 `NGL` 水平下，不同样本的产量表现仍可能存在明显差别；同时，少量高 `NGL` 观测构成上尾离群点，可能对局部趋势线形成一定拉动，因此在解读时需要避免把尾部样本的表现当作普遍规律。就业务含义而言，`NGL` 可以作为观察产量变化的辅助线索，但不足以单独作为稳定的选种或管理依据。</w:t>
      </w:r>
    </w:p>
    <w:p>
      <w:pPr>
        <w:spacing w:before="200" w:after="80"/>
        <w:jc w:val="center"/>
      </w:pPr>
      <w:r>
        <w:drawing>
          <wp:inline xmlns:a="http://schemas.openxmlformats.org/drawingml/2006/main" xmlns:pic="http://schemas.openxmlformats.org/drawingml/2006/picture">
            <wp:extent cx="3291839" cy="2116182"/>
            <wp:docPr id="30" name="Picture 30"/>
            <wp:cNvGraphicFramePr>
              <a:graphicFrameLocks noChangeAspect="1"/>
            </wp:cNvGraphicFramePr>
            <a:graphic>
              <a:graphicData uri="http://schemas.openxmlformats.org/drawingml/2006/picture">
                <pic:pic>
                  <pic:nvPicPr>
                    <pic:cNvPr id="0" name="image.png"/>
                    <pic:cNvPicPr/>
                  </pic:nvPicPr>
                  <pic:blipFill>
                    <a:blip r:embed="rId3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图30 不同季节gy与ngl关系</w:t>
      </w:r>
    </w:p>
    <w:p>
      <w:pPr/>
      <w:r>
        <w:rPr>
          <w:rFonts w:ascii="Times New Roman" w:hAnsi="Times New Roman" w:eastAsia="Microsoft YaHei"/>
        </w:rPr>
        <w:t>`PH` 与 `GY` 的关系则进一步体现出这种弱关联结构。整体散点较分散，显示株高对产量的线性解释能力有限；其中 `Season 1` 的拟合线略向上，提示 `PH` 增加时 `GY` 可能小幅提高，而 `Season 2` 的趋势线接近水平，说明株高变化对产量的影响更弱。也就是说，`PH` 与 `GY` 的关系不仅整体不强，而且在不同季次下的敏感度并不完全一致，这提示株高更适合作为综合评价中的参考维度，而不是直接指向高产的核心判断条件。</w:t>
      </w:r>
    </w:p>
    <w:p>
      <w:pPr>
        <w:spacing w:before="200" w:after="80"/>
        <w:jc w:val="center"/>
      </w:pPr>
      <w:r>
        <w:drawing>
          <wp:inline xmlns:a="http://schemas.openxmlformats.org/drawingml/2006/main" xmlns:pic="http://schemas.openxmlformats.org/drawingml/2006/picture">
            <wp:extent cx="3291839" cy="2116182"/>
            <wp:docPr id="31" name="Picture 31"/>
            <wp:cNvGraphicFramePr>
              <a:graphicFrameLocks noChangeAspect="1"/>
            </wp:cNvGraphicFramePr>
            <a:graphic>
              <a:graphicData uri="http://schemas.openxmlformats.org/drawingml/2006/picture">
                <pic:pic>
                  <pic:nvPicPr>
                    <pic:cNvPr id="0" name="image.png"/>
                    <pic:cNvPicPr/>
                  </pic:nvPicPr>
                  <pic:blipFill>
                    <a:blip r:embed="rId3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图31 不同季节ph与gy关系</w:t>
      </w:r>
    </w:p>
    <w:p>
      <w:pPr/>
      <w:r>
        <w:rPr>
          <w:rFonts w:ascii="Times New Roman" w:hAnsi="Times New Roman" w:eastAsia="Microsoft YaHei"/>
        </w:rPr>
        <w:t>结合这三项性状可以看出，`MHG`、`NGL`、`PH` 与 `GY` 的关联方向大体偏正，但都停留在弱相关层面。它们能够提供产量变化的局部信号，却不足以独立解释 `GY` 的高低。对田间筛选和后续分析而言，更合理的做法是把这些关键农艺指标与品种背景、重复表现及其他粒数类性状结合起来综合判读，而不是依赖某一个性状对产量作单点预测。</w:t>
      </w:r>
    </w:p>
    <w:p>
      <w:pPr>
        <w:pStyle w:val="Heading3"/>
        <w:keepNext/>
      </w:pPr>
      <w:r>
        <w:rPr>
          <w:rFonts w:ascii="Times New Roman" w:hAnsi="Times New Roman" w:eastAsia="Microsoft YaHei"/>
        </w:rPr>
        <w:t>3.6.2 性状之间的相关结构</w:t>
      </w:r>
    </w:p>
    <w:p>
      <w:pPr/>
      <w:r>
        <w:rPr>
          <w:rFonts w:ascii="Times New Roman" w:hAnsi="Times New Roman" w:eastAsia="Microsoft YaHei"/>
        </w:rPr>
        <w:t>连续性状的相关性热力图显示，各农艺指标之间的线性关系整体以弱到中等为主，说明多数性状并未形成大面积的强共线结构，变量之间仍保留了较强的相对独立性。这一结果意味着，不同性状更可能分别反映材料表现的不同侧面，而不是由少数指标高度重复地替代全部信息。与此同时，负相关关系在图中出现较少且强度有限，也表明各性状之间并不存在普遍而明显的对立变化模式。</w:t>
      </w:r>
    </w:p>
    <w:p>
      <w:pPr>
        <w:spacing w:before="200" w:after="80"/>
        <w:jc w:val="center"/>
      </w:pPr>
      <w:r>
        <w:drawing>
          <wp:inline xmlns:a="http://schemas.openxmlformats.org/drawingml/2006/main" xmlns:pic="http://schemas.openxmlformats.org/drawingml/2006/picture">
            <wp:extent cx="3291839" cy="2116182"/>
            <wp:docPr id="32" name="Picture 32"/>
            <wp:cNvGraphicFramePr>
              <a:graphicFrameLocks noChangeAspect="1"/>
            </wp:cNvGraphicFramePr>
            <a:graphic>
              <a:graphicData uri="http://schemas.openxmlformats.org/drawingml/2006/picture">
                <pic:pic>
                  <pic:nvPicPr>
                    <pic:cNvPr id="0" name="image.png"/>
                    <pic:cNvPicPr/>
                  </pic:nvPicPr>
                  <pic:blipFill>
                    <a:blip r:embed="rId4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图32 ph等连续性状相关结构</w:t>
      </w:r>
    </w:p>
    <w:p>
      <w:pPr/>
      <w:r>
        <w:rPr>
          <w:rFonts w:ascii="Times New Roman" w:hAnsi="Times New Roman" w:eastAsia="Microsoft YaHei"/>
        </w:rPr>
        <w:t>在这些关系中，`NGP` 与 `NLP`、`NGL` 的正相关最为突出，是当前相关结构里最值得关注的共变组合。这说明粒数相关维度内部存在较明显的协同变化，部分指标之间可能携带相近的信息，因此在解释材料差异时，需要注意避免将这些彼此联动较强的性状简单视为完全独立的证据。换言之，粒数类指标能够提供较强线索，但其中也存在一定的信息重叠。</w:t>
      </w:r>
    </w:p>
    <w:p>
      <w:pPr/>
      <w:r>
        <w:rPr>
          <w:rFonts w:ascii="Times New Roman" w:hAnsi="Times New Roman" w:eastAsia="Microsoft YaHei"/>
        </w:rPr>
        <w:t>从分析应用角度看，这种相关结构有两点启示。其一，在后续建模中，由于多数变量相关性并不高，保留更多维度通常有助于获得更完整的解释，而不必过早压缩为极少数指标。其二，若业务上重点关注 `NGP` 的提升，则与其同步变化更明显的 `NLP`、`NGL` 值得一并观察，因为它们可能共同刻画同一类生长或结实表现。不过，这种协同关系更适合用于识别共变模式和潜在冗余，而不是直接替代对其他性状的综合判断。</w:t>
      </w:r>
    </w:p>
    <w:p>
      <w:pPr>
        <w:pStyle w:val="Heading3"/>
        <w:keepNext/>
      </w:pPr>
      <w:r>
        <w:rPr>
          <w:rFonts w:ascii="Times New Roman" w:hAnsi="Times New Roman" w:eastAsia="Microsoft YaHei"/>
        </w:rPr>
        <w:t>3.6.3 品种差异与GY关联线索</w:t>
      </w:r>
    </w:p>
    <w:p>
      <w:pPr/>
      <w:r>
        <w:rPr>
          <w:rFonts w:ascii="Times New Roman" w:hAnsi="Times New Roman" w:eastAsia="Microsoft YaHei"/>
        </w:rPr>
        <w:t>在引入品种因素后，前述性状与 `GY` 的弱正相关关系更适合被理解为“产量差异的线索”而非直接因果。`NGP` 与 `GY` 虽然同向变化，但散点分布较为分散，多数样本仍集中在较低 `NGP` 区间，只有少量高值点显示出更突出的表现。这说明部分高产样本可能确实伴随较高的粒数水平，但这种优势并未在所有材料中稳定复制，因此更可能反映为特定品种在特定条件下的表现差异，而不是所有品种共享的统一规律。</w:t>
      </w:r>
    </w:p>
    <w:p>
      <w:pPr>
        <w:spacing w:before="200" w:after="80"/>
        <w:jc w:val="center"/>
      </w:pPr>
      <w:r>
        <w:drawing>
          <wp:inline xmlns:a="http://schemas.openxmlformats.org/drawingml/2006/main" xmlns:pic="http://schemas.openxmlformats.org/drawingml/2006/picture">
            <wp:extent cx="3291839" cy="2116182"/>
            <wp:docPr id="33" name="Picture 33"/>
            <wp:cNvGraphicFramePr>
              <a:graphicFrameLocks noChangeAspect="1"/>
            </wp:cNvGraphicFramePr>
            <a:graphic>
              <a:graphicData uri="http://schemas.openxmlformats.org/drawingml/2006/picture">
                <pic:pic>
                  <pic:nvPicPr>
                    <pic:cNvPr id="0" name="image.png"/>
                    <pic:cNvPicPr/>
                  </pic:nvPicPr>
                  <pic:blipFill>
                    <a:blip r:embed="rId4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图33 gy与ngp关系</w:t>
      </w:r>
    </w:p>
    <w:p>
      <w:pPr/>
      <w:r>
        <w:rPr>
          <w:rFonts w:ascii="Times New Roman" w:hAnsi="Times New Roman" w:eastAsia="Microsoft YaHei"/>
        </w:rPr>
        <w:t>从 `NS` 与 `GY` 的季节分层关系看，两个季次均呈弱正相关，但 `Season 1` 的上升趋势更清晰，`Season 2` 则更平缓且离散度更大。这种差异提示，同样的穗数变化在不同季节中的增产敏感度并不一致，而品种间的响应能力可能正是造成这种差别的重要来源。也就是说，某些品种可能更能在 `Season 1` 条件下把 `NS` 的提升转化为 `GY` 增长，而另一些品种则受环境限制更明显。</w:t>
      </w:r>
    </w:p>
    <w:p>
      <w:pPr>
        <w:spacing w:before="200" w:after="80"/>
        <w:jc w:val="center"/>
      </w:pPr>
      <w:r>
        <w:drawing>
          <wp:inline xmlns:a="http://schemas.openxmlformats.org/drawingml/2006/main" xmlns:pic="http://schemas.openxmlformats.org/drawingml/2006/picture">
            <wp:extent cx="3291839" cy="2116182"/>
            <wp:docPr id="34" name="Picture 34"/>
            <wp:cNvGraphicFramePr>
              <a:graphicFrameLocks noChangeAspect="1"/>
            </wp:cNvGraphicFramePr>
            <a:graphic>
              <a:graphicData uri="http://schemas.openxmlformats.org/drawingml/2006/picture">
                <pic:pic>
                  <pic:nvPicPr>
                    <pic:cNvPr id="0" name="image.png"/>
                    <pic:cNvPicPr/>
                  </pic:nvPicPr>
                  <pic:blipFill>
                    <a:blip r:embed="rId4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图34 不同季节ns与gy关系</w:t>
      </w:r>
    </w:p>
    <w:p>
      <w:pPr/>
      <w:r>
        <w:rPr>
          <w:rFonts w:ascii="Times New Roman" w:hAnsi="Times New Roman" w:eastAsia="Microsoft YaHei"/>
        </w:rPr>
        <w:t>`NLP` 与 `GY` 的关系也呈现类似结构。两季均保持弱正相关，但 `Season 1` 的拟合斜率更大，说明在该季条件下，`NLP` 增加与产量提升的联动更明显；到了 `Season 2`，这种联动减弱且波动扩大。结合品种差异理解，这意味着不同材料不仅在产量水平上有高低之分，在粒数相关性状转化为实际产量的效率上也存在差异。因此，判断品种潜力时，不能只看某一性状是否偏高，还要看该性状在不同季节中是否能够持续对应较好的 `GY` 表现。</w:t>
      </w:r>
    </w:p>
    <w:p>
      <w:pPr>
        <w:spacing w:before="200" w:after="80"/>
        <w:jc w:val="center"/>
      </w:pPr>
      <w:r>
        <w:drawing>
          <wp:inline xmlns:a="http://schemas.openxmlformats.org/drawingml/2006/main" xmlns:pic="http://schemas.openxmlformats.org/drawingml/2006/picture">
            <wp:extent cx="3291839" cy="2116182"/>
            <wp:docPr id="35" name="Picture 35"/>
            <wp:cNvGraphicFramePr>
              <a:graphicFrameLocks noChangeAspect="1"/>
            </wp:cNvGraphicFramePr>
            <a:graphic>
              <a:graphicData uri="http://schemas.openxmlformats.org/drawingml/2006/picture">
                <pic:pic>
                  <pic:nvPicPr>
                    <pic:cNvPr id="0" name="image.png"/>
                    <pic:cNvPicPr/>
                  </pic:nvPicPr>
                  <pic:blipFill>
                    <a:blip r:embed="rId4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图35 不同季节gy与nlp关系</w:t>
      </w:r>
    </w:p>
    <w:p>
      <w:pPr/>
      <w:r>
        <w:rPr>
          <w:rFonts w:ascii="Times New Roman" w:hAnsi="Times New Roman" w:eastAsia="Microsoft YaHei"/>
        </w:rPr>
        <w:t>品种均值比较进一步强化了这一判断：不同品种在两个季节中的 `GY` 表现存在明显差异，而且多数品种在 `Season 1` 普遍高于 `Season 2`。其中，一部分品种季间差距较大，显示出较强的环境敏感性；另一部分品种虽未必始终处于最高水平，但跨季波动相对较小，表现出更好的稳定性。由此看，产量差异并不只是由单个农艺指标的高低决定，品种本身的适应性与稳定性同样是解释 `GY` 变化的重要来源。对品种筛选而言，单季高产可用于识别潜力材料，而跨季保持相对稳定的品种更具实际推广价值。</w:t>
      </w:r>
    </w:p>
    <w:p>
      <w:pPr>
        <w:spacing w:before="200" w:after="80"/>
        <w:jc w:val="center"/>
      </w:pPr>
      <w:r>
        <w:drawing>
          <wp:inline xmlns:a="http://schemas.openxmlformats.org/drawingml/2006/main" xmlns:pic="http://schemas.openxmlformats.org/drawingml/2006/picture">
            <wp:extent cx="3291839" cy="2116182"/>
            <wp:docPr id="36" name="Picture 36"/>
            <wp:cNvGraphicFramePr>
              <a:graphicFrameLocks noChangeAspect="1"/>
            </wp:cNvGraphicFramePr>
            <a:graphic>
              <a:graphicData uri="http://schemas.openxmlformats.org/drawingml/2006/picture">
                <pic:pic>
                  <pic:nvPicPr>
                    <pic:cNvPr id="0" name="image.png"/>
                    <pic:cNvPicPr/>
                  </pic:nvPicPr>
                  <pic:blipFill>
                    <a:blip r:embed="rId4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图36 不同季节品种gy均值比较</w:t>
      </w:r>
    </w:p>
    <w:p>
      <w:pPr>
        <w:pStyle w:val="Heading2"/>
        <w:keepNext/>
      </w:pPr>
      <w:r>
        <w:rPr>
          <w:rFonts w:ascii="Times New Roman" w:hAnsi="Times New Roman" w:eastAsia="Microsoft YaHei"/>
        </w:rPr>
        <w:t>3.7 综合统计发现汇总</w:t>
      </w:r>
    </w:p>
    <w:p>
      <w:pPr/>
      <w:r>
        <w:rPr>
          <w:rFonts w:ascii="Times New Roman" w:hAnsi="Times New Roman" w:eastAsia="Microsoft YaHei"/>
        </w:rPr>
        <w:t>可视化阶段的结果可以归纳为三条主线。其一，试验数据在 `Season` 与 `Repetition` 两个核心分层维度上保持了较好的均衡性，这使后续各类组间比较具备较强可比性；其二，多数农艺性状与 `GY` 的分布呈现“中心集中、整体稳定、局部偏态”的共同特征，说明群体主体表现相对一致，但少量尾部样本仍会显著拉开差异；其三，`GY` 的变化并不由单一性状直接决定，而是受到多项弱相关性状、季节条件与品种差异共同作用。</w:t>
      </w:r>
    </w:p>
    <w:p>
      <w:pPr/>
      <w:r>
        <w:rPr>
          <w:rFonts w:ascii="Times New Roman" w:hAnsi="Times New Roman" w:eastAsia="Microsoft YaHei"/>
        </w:rPr>
        <w:t>从变量分布看，`PH`、`IFP`、`MHG` 这类指标整体更接近单峰且围绕 0 附近波动，说明大多数样本处于常规区间，群体内部虽有差异，但并未表现出普遍性的极端偏移。与之相比，`NLP`、`NGP`、`NGL`、`NS` 的右偏更明显，表现为多数样本集中在中低区间，而少量高值样本形成长尾。这意味着样本差异并不是均匀展开的，而往往由少数高表现材料或特殊组合拉动。对业务判断而言，这类变量既有助于识别潜在优势材料，也提醒分析中不能仅依据均值理解整体水平，尤其要防止把尾部样本特征误判为普遍规律。</w:t>
      </w:r>
    </w:p>
    <w:p>
      <w:pPr/>
      <w:r>
        <w:rPr>
          <w:rFonts w:ascii="Times New Roman" w:hAnsi="Times New Roman" w:eastAsia="Microsoft YaHei"/>
        </w:rPr>
        <w:t>就 `GY` 本身而言，其整体分布相对平衡，中心区域样本最为集中，说明多数材料或处理组合的产量表现没有出现大面积失衡；但两端仍存在少量高低异常样本，表明产量差异依然客观存在。这一结果与前述农艺性状的分布特征相呼应：群体总体稳定，但真正拉开表现层次的，往往是少数极端或接近极端的样本组合。因此，在品种筛选或田间评价中，既要关注总体稳定性，也要单独核查高产与低产尾部样本对应的季节、品种及性状组合，避免遗漏关键线索。</w:t>
      </w:r>
    </w:p>
    <w:p>
      <w:pPr/>
      <w:r>
        <w:rPr>
          <w:rFonts w:ascii="Times New Roman" w:hAnsi="Times New Roman" w:eastAsia="Microsoft YaHei"/>
        </w:rPr>
        <w:t>从组间差异角度看，季节效应和品种效应都不可忽视。已有可视化结果表明，多数品种在 `Season 1` 中的 `GY` 表现普遍好于 `Season 2`，且不同品种的季间波动幅度并不一致，这说明环境条件不仅影响总体产量水平，也影响不同材料的稳定性表现。与此同时，品种频次本身呈现明显长尾结构，样本大量集中于“Other”，单个具体品种的观测相对有限。因此，对品种差异的解读应同时考虑两个层面：一方面，确有部分材料展现出更高或更稳定的产量潜力；另一方面，部分低频品种的表观差异可能受到样本覆盖不足的影响，结论更适合作为线索而非定论。</w:t>
      </w:r>
    </w:p>
    <w:p>
      <w:pPr/>
      <w:r>
        <w:rPr>
          <w:rFonts w:ascii="Times New Roman" w:hAnsi="Times New Roman" w:eastAsia="Microsoft YaHei"/>
        </w:rPr>
        <w:t>在性状与产量关系上，当前结果更支持“多指标共同提供弱线索”的判断，而不支持“单一指标决定高产”的简单解释。`MHG`、`NGL`、`PH`、`NGP`、`NS`、`NLP` 与 `GY` 的关系大体以弱正相关为主，但散点离散度普遍较大，说明这些指标对产量具有方向性提示，却缺乏足够强的单独解释力。进一步看，不同季节下同一性状与 `GY` 的联动强度还会变化，例如部分粒数或穗数相关指标在 `Season 1` 中表现出更清晰的正向趋势，而在 `Season 2` 中斜率减弱、波动扩大。这意味着性状优势能否转化为产量提升，取决于环境条件与材料响应能力的共同匹配。</w:t>
      </w:r>
    </w:p>
    <w:p>
      <w:pPr/>
      <w:r>
        <w:rPr>
          <w:rFonts w:ascii="Times New Roman" w:hAnsi="Times New Roman" w:eastAsia="Microsoft YaHei"/>
        </w:rPr>
        <w:t>性状之间的相关结构也提供了重要补充信息。整体上，多数农艺指标之间以弱到中等相关为主，未形成大面积强共线格局，说明它们仍在反映材料表现的不同侧面，保留了较强的信息互补性。不过，粒数相关维度内部存在更明显的协同变化，尤其是 `NGP` 与 `NLP`、`NGL` 的正相关较突出，提示这些指标之间存在一定信息重叠。应用上，这意味着后续无论是做综合评价还是建立预测模型，都应避免将若干高度联动的粒数类指标简单视为完全独立的证据。</w:t>
      </w:r>
    </w:p>
    <w:p>
      <w:pPr/>
      <w:r>
        <w:rPr>
          <w:rFonts w:ascii="Times New Roman" w:hAnsi="Times New Roman" w:eastAsia="Microsoft YaHei"/>
        </w:rPr>
        <w:t>综合来看，本阶段可视化分析揭示的是一种较为典型的“整体稳定、局部异质、关系偏弱但可提供线索”的数据特征。试验设计层面的均衡性保证了比较基础较为可靠；分布层面的右偏和少量离群点提示了优势样本与异常样本并存；而 `GY` 与各农艺性状、季节及品种之间的关系，则更适合被理解为多因素共同作用下的表现差异。对后续分析而言，较有价值的方向不是寻找单一决定性指标，而是在兼顾季节背景、品种稳定性和多性状组合的前提下，识别更具持续表现潜力的材料。</w:t>
      </w:r>
    </w:p>
    <w:p>
      <w:pPr>
        <w:pStyle w:val="Heading3"/>
        <w:keepNext/>
      </w:pPr>
      <w:r>
        <w:rPr>
          <w:rFonts w:ascii="Times New Roman" w:hAnsi="Times New Roman" w:eastAsia="Microsoft YaHei"/>
        </w:rPr>
        <w:t>3.7.1 分布稳定与偏态并存特征</w:t>
      </w:r>
    </w:p>
    <w:p>
      <w:pPr/>
      <w:r>
        <w:rPr>
          <w:rFonts w:ascii="Times New Roman" w:hAnsi="Times New Roman" w:eastAsia="Microsoft YaHei"/>
        </w:rPr>
        <w:t>这一阶段的分布特征可以概括为“主体稳定、局部右偏”。从各连续性状的单变量表现看，多数指标都集中在 0 附近，并以单峰分布为主，说明样本群体在常规区间内具有较强一致性，整体没有出现大范围的系统性偏移。其中，`PH`、`IFP` 和 `MHG` 的分布相对更规整：前两者虽有轻微右偏或少量两端异常点，但主体仍围绕中心位置聚集；`MHG` 则更接近对称单峰，离散程度中等，反映出该类性状更多体现为常规波动，而不是由极端样本主导差异。</w:t>
      </w:r>
    </w:p>
    <w:p>
      <w:pPr/>
      <w:r>
        <w:rPr>
          <w:rFonts w:ascii="Times New Roman" w:hAnsi="Times New Roman" w:eastAsia="Microsoft YaHei"/>
        </w:rPr>
        <w:t>与这种相对稳定的分布相比，`NLP`、`NGP`、`NGL` 和 `NS` 的偏态特征更突出。它们共同表现为多数样本落在中低区间，而右侧拖出较长尾部，并伴随少量高值离群点。尤其是 `NGP` 与 `NGL`，右偏程度更明显，说明群体的大部分观测仍处于常规或偏低水平，但少数样本会显著高于主体分布，从而拉开变量的整体差异。`NLP` 虽然主体也较集中，但其右尾延伸同样提示部分材料可能在相关粒数表现上明显优于一般水平；`NS` 则显示出常见水平较稳定、少量高值额外突出的结构。</w:t>
      </w:r>
    </w:p>
    <w:p>
      <w:pPr/>
      <w:r>
        <w:rPr>
          <w:rFonts w:ascii="Times New Roman" w:hAnsi="Times New Roman" w:eastAsia="Microsoft YaHei"/>
        </w:rPr>
        <w:t>这种“稳定中带偏态”的模式意味着，样本差异并不是在全体材料中均匀展开，而往往集中体现在尾部少量高表现观测上。因而，对这类变量不能只依据均值或中心位置作判断。若仅看总体平均水平，容易低估高值尾部对材料区分的作用；但若过度强调少数高值样本，又可能把局部优势误读为群体普遍规律。更合适的理解是：多数性状提供了稳定的群体基线，而右偏长尾则揭示了少量潜在优势材料、特殊季节响应或异常观测对整体分布的拉伸作用。</w:t>
      </w:r>
    </w:p>
    <w:p>
      <w:pPr/>
      <w:r>
        <w:rPr>
          <w:rFonts w:ascii="Times New Roman" w:hAnsi="Times New Roman" w:eastAsia="Microsoft YaHei"/>
        </w:rPr>
        <w:t>`GY` 的分布则提供了一个对照：其整体更接近中心对称、主体集中且两端仅有少量异常值，说明产量表现总体上比若干粒数相关性状更平衡。这进一步表明，试验材料的主体产量水平并未出现明显失稳，而前述若干右偏性状更多是在局部样本中形成突出差异。换言之，群体的大多数材料在常规条件下表现接近，但真正可能带来筛选价值的信息，往往隐藏在 `NLP`、`NGP`、`NGL`、`NS` 等变量的右侧长尾部分。</w:t>
      </w:r>
    </w:p>
    <w:p>
      <w:pPr/>
      <w:r>
        <w:rPr>
          <w:rFonts w:ascii="Times New Roman" w:hAnsi="Times New Roman" w:eastAsia="Microsoft YaHei"/>
        </w:rPr>
        <w:t>因此，本节的核心发现并不是简单地区分“稳定”或“波动”，而是确认两类特征同时存在：一方面，多数农艺性状和 `GY` 都呈现中心聚集、主体可比的分布结构；另一方面，部分关键性状又保留了明显右偏和高值尾部。对于后续解释，应将这种分布结构理解为群体总体稳定背景下的局部异质性表现，从而在评价材料时同时兼顾主体水平与尾部样本信息。</w:t>
      </w:r>
    </w:p>
    <w:p>
      <w:pPr>
        <w:pStyle w:val="Heading3"/>
        <w:keepNext/>
      </w:pPr>
      <w:r>
        <w:rPr>
          <w:rFonts w:ascii="Times New Roman" w:hAnsi="Times New Roman" w:eastAsia="Microsoft YaHei"/>
        </w:rPr>
        <w:t>3.7.2 少量离群点的业务含义</w:t>
      </w:r>
    </w:p>
    <w:p>
      <w:pPr/>
      <w:r>
        <w:rPr>
          <w:rFonts w:ascii="Times New Roman" w:hAnsi="Times New Roman" w:eastAsia="Microsoft YaHei"/>
        </w:rPr>
        <w:t>少量离群点在这一批试验数据中并不是“主体规律”，但它们会显著影响对产量形成机制的理解。围绕 `GY` 与多个农艺性状的散点关系可以看到，`NLP`、`IFP`、`NS`、`PH`、`NGL` 与 `GY` 大多只呈弱正相关，且散点离散度较高；在这种背景下，少数极端高值样本虽然数量有限，却容易拉动回归线方向，放大某一性状与产量之间看似存在的联系。因此，这些离群点更适合被理解为需要单独核查的重点样本，而不能直接代表群体中的普遍响应模式。</w:t>
      </w:r>
    </w:p>
    <w:p>
      <w:pPr>
        <w:spacing w:before="200" w:after="80"/>
        <w:jc w:val="center"/>
      </w:pPr>
      <w:r>
        <w:drawing>
          <wp:inline xmlns:a="http://schemas.openxmlformats.org/drawingml/2006/main" xmlns:pic="http://schemas.openxmlformats.org/drawingml/2006/picture">
            <wp:extent cx="3291839" cy="2116182"/>
            <wp:docPr id="37" name="Picture 37"/>
            <wp:cNvGraphicFramePr>
              <a:graphicFrameLocks noChangeAspect="1"/>
            </wp:cNvGraphicFramePr>
            <a:graphic>
              <a:graphicData uri="http://schemas.openxmlformats.org/drawingml/2006/picture">
                <pic:pic>
                  <pic:nvPicPr>
                    <pic:cNvPr id="0" name="image.png"/>
                    <pic:cNvPicPr/>
                  </pic:nvPicPr>
                  <pic:blipFill>
                    <a:blip r:embed="rId4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图37 gy与nlp关系及离群点特征</w:t>
      </w:r>
    </w:p>
    <w:p>
      <w:pPr/>
      <w:r>
        <w:rPr>
          <w:rFonts w:ascii="Times New Roman" w:hAnsi="Times New Roman" w:eastAsia="Microsoft YaHei"/>
        </w:rPr>
        <w:t>从 `IFP` 与 `GY` 的关系看，同一 `IFP` 水平下 `GY` 仍有较大波动，说明即使出现高值样本，也不能据此认定 `IFP` 对产量具有稳定、单向且强烈的决定作用。业务上，这类离群点可能对应特殊品种、特定季节条件，或者多个性状共同叠加后的结果。它的价值在于提示“存在值得追踪的高表现组合”，而不是支持“单指标提升即可带来高产”的简单结论。</w:t>
      </w:r>
    </w:p>
    <w:p>
      <w:pPr>
        <w:spacing w:before="200" w:after="80"/>
        <w:jc w:val="center"/>
      </w:pPr>
      <w:r>
        <w:drawing>
          <wp:inline xmlns:a="http://schemas.openxmlformats.org/drawingml/2006/main" xmlns:pic="http://schemas.openxmlformats.org/drawingml/2006/picture">
            <wp:extent cx="3291839" cy="2116182"/>
            <wp:docPr id="38" name="Picture 38"/>
            <wp:cNvGraphicFramePr>
              <a:graphicFrameLocks noChangeAspect="1"/>
            </wp:cNvGraphicFramePr>
            <a:graphic>
              <a:graphicData uri="http://schemas.openxmlformats.org/drawingml/2006/picture">
                <pic:pic>
                  <pic:nvPicPr>
                    <pic:cNvPr id="0" name="image.png"/>
                    <pic:cNvPicPr/>
                  </pic:nvPicPr>
                  <pic:blipFill>
                    <a:blip r:embed="rId4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图38 ifp与gy相关关系</w:t>
      </w:r>
    </w:p>
    <w:p>
      <w:pPr/>
      <w:r>
        <w:rPr>
          <w:rFonts w:ascii="Times New Roman" w:hAnsi="Times New Roman" w:eastAsia="Microsoft YaHei"/>
        </w:rPr>
        <w:t>`NS` 与 `GY` 的散点关系也体现出类似特征：整体趋势向上，但稳定性不足，少量偏离主体分布的样本会使人更容易注意到尾部高值。对试验解释而言，这意味着极端高 `NS` 样本可能确实携带高产线索，但其业务意义更偏向候选材料识别和后续复验优先级排序，而不能直接外推为全体材料都遵循的增产规律。</w:t>
      </w:r>
    </w:p>
    <w:p>
      <w:pPr>
        <w:spacing w:before="200" w:after="80"/>
        <w:jc w:val="center"/>
      </w:pPr>
      <w:r>
        <w:drawing>
          <wp:inline xmlns:a="http://schemas.openxmlformats.org/drawingml/2006/main" xmlns:pic="http://schemas.openxmlformats.org/drawingml/2006/picture">
            <wp:extent cx="3291839" cy="2116182"/>
            <wp:docPr id="39" name="Picture 39"/>
            <wp:cNvGraphicFramePr>
              <a:graphicFrameLocks noChangeAspect="1"/>
            </wp:cNvGraphicFramePr>
            <a:graphic>
              <a:graphicData uri="http://schemas.openxmlformats.org/drawingml/2006/picture">
                <pic:pic>
                  <pic:nvPicPr>
                    <pic:cNvPr id="0" name="image.png"/>
                    <pic:cNvPicPr/>
                  </pic:nvPicPr>
                  <pic:blipFill>
                    <a:blip r:embed="rId4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图39 gy与ns关系</w:t>
      </w:r>
    </w:p>
    <w:p>
      <w:pPr/>
      <w:r>
        <w:rPr>
          <w:rFonts w:ascii="Times New Roman" w:hAnsi="Times New Roman" w:eastAsia="Microsoft YaHei"/>
        </w:rPr>
        <w:t>`PH` 与 `GY` 的关系进一步说明了这一点。虽然 `PH` 增加时 `GY` 有小幅上升趋势，但整体相关性不强，且仍有少量明显偏离总体规律的观测。若仅依据这些高 `PH`、高 `GY` 的离群样本作判断，容易高估株高对产量的解释力。更稳妥的业务理解应是：`PH` 可以作为辅助判断信号，但遇到极端高值样本时，需要同步核查其品种背景、季节条件及其他产量构成性状，避免把个别成功组合误读为一般规律。</w:t>
      </w:r>
    </w:p>
    <w:p>
      <w:pPr>
        <w:spacing w:before="200" w:after="80"/>
        <w:jc w:val="center"/>
      </w:pPr>
      <w:r>
        <w:drawing>
          <wp:inline xmlns:a="http://schemas.openxmlformats.org/drawingml/2006/main" xmlns:pic="http://schemas.openxmlformats.org/drawingml/2006/picture">
            <wp:extent cx="3291839" cy="2116182"/>
            <wp:docPr id="40" name="Picture 40"/>
            <wp:cNvGraphicFramePr>
              <a:graphicFrameLocks noChangeAspect="1"/>
            </wp:cNvGraphicFramePr>
            <a:graphic>
              <a:graphicData uri="http://schemas.openxmlformats.org/drawingml/2006/picture">
                <pic:pic>
                  <pic:nvPicPr>
                    <pic:cNvPr id="0" name="image.png"/>
                    <pic:cNvPicPr/>
                  </pic:nvPicPr>
                  <pic:blipFill>
                    <a:blip r:embed="rId4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图40 ph与gy关系</w:t>
      </w:r>
    </w:p>
    <w:p>
      <w:pPr/>
      <w:r>
        <w:rPr>
          <w:rFonts w:ascii="Times New Roman" w:hAnsi="Times New Roman" w:eastAsia="Microsoft YaHei"/>
        </w:rPr>
        <w:t>从综合结构看，大多数样本在前两主成分空间中集中分布，说明试验材料的主流表现较为接近，离群点只占少数，但这些样本在多指标组合上与主体群体存在明显差异。也就是说，离群点的意义不只体现在单一变量的高低，更体现在若干性状与分组因素共同形成的特殊组合。对业务应用而言，这类样本应被视为重点排查对象：它们既可能代表潜在优异材料，也可能是需要复核的异常记录。</w:t>
      </w:r>
    </w:p>
    <w:p>
      <w:pPr>
        <w:spacing w:before="200" w:after="80"/>
        <w:jc w:val="center"/>
      </w:pPr>
      <w:r>
        <w:drawing>
          <wp:inline xmlns:a="http://schemas.openxmlformats.org/drawingml/2006/main" xmlns:pic="http://schemas.openxmlformats.org/drawingml/2006/picture">
            <wp:extent cx="3291839" cy="2116182"/>
            <wp:docPr id="41" name="Picture 41"/>
            <wp:cNvGraphicFramePr>
              <a:graphicFrameLocks noChangeAspect="1"/>
            </wp:cNvGraphicFramePr>
            <a:graphic>
              <a:graphicData uri="http://schemas.openxmlformats.org/drawingml/2006/picture">
                <pic:pic>
                  <pic:nvPicPr>
                    <pic:cNvPr id="0" name="image.png"/>
                    <pic:cNvPicPr/>
                  </pic:nvPicPr>
                  <pic:blipFill>
                    <a:blip r:embed="rId4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图41 样本pc1与pc2得分分布</w:t>
      </w:r>
    </w:p>
    <w:p>
      <w:pPr/>
      <w:r>
        <w:rPr>
          <w:rFonts w:ascii="Times New Roman" w:hAnsi="Times New Roman" w:eastAsia="Microsoft YaHei"/>
        </w:rPr>
        <w:t>主成分载荷结果进一步表明，样本差异主要沿产量构成相关性状展开，尤其是 `NLP`、`NGP`、`NS` 在区分样本上贡献更强，而 `IFP`、`PH` 更多影响另一维度；同时，少量离群样本可能与 `NGL`、`NGP` 相关。这说明极端高值之所以重要，不在于它们单独抬高某一个指标，而在于它们可能对应一组不同于主流样本的性状配置。对于育种筛选或田间评价，这类样本更适合作为“需复验、需定位原因、需单独跟踪”的对象。</w:t>
      </w:r>
    </w:p>
    <w:p>
      <w:pPr>
        <w:spacing w:before="200" w:after="80"/>
        <w:jc w:val="center"/>
      </w:pPr>
      <w:r>
        <w:drawing>
          <wp:inline xmlns:a="http://schemas.openxmlformats.org/drawingml/2006/main" xmlns:pic="http://schemas.openxmlformats.org/drawingml/2006/picture">
            <wp:extent cx="3291839" cy="2116182"/>
            <wp:docPr id="42" name="Picture 42"/>
            <wp:cNvGraphicFramePr>
              <a:graphicFrameLocks noChangeAspect="1"/>
            </wp:cNvGraphicFramePr>
            <a:graphic>
              <a:graphicData uri="http://schemas.openxmlformats.org/drawingml/2006/picture">
                <pic:pic>
                  <pic:nvPicPr>
                    <pic:cNvPr id="0" name="image.png"/>
                    <pic:cNvPicPr/>
                  </pic:nvPicPr>
                  <pic:blipFill>
                    <a:blip r:embed="rId5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图42 ph等性状主成分载荷分布</w:t>
      </w:r>
    </w:p>
    <w:p>
      <w:pPr/>
      <w:r>
        <w:rPr>
          <w:rFonts w:ascii="Times New Roman" w:hAnsi="Times New Roman" w:eastAsia="Microsoft YaHei"/>
        </w:rPr>
        <w:t>在 `NGL` 与 `GY` 的关系中，这种影响更为直观：大多数样本集中在 `NGL` 接近 0 的区域，但少量明显离群点会对趋势线产生额外拉动。由于主体样本仍覆盖了较大的 `GY` 波动范围，因此这些极端高值不能单独承担解释产量差异的任务。更合理的做法是，将其作为异常高产线索或异常观测线索处理，结合品种、季节和其他农艺性状做交叉核查。这样既不会忽视潜在优异材料，也能降低少数极端观测对整体试验结论造成的误导风险。</w:t>
      </w:r>
    </w:p>
    <w:p>
      <w:pPr>
        <w:spacing w:before="200" w:after="80"/>
        <w:jc w:val="center"/>
      </w:pPr>
      <w:r>
        <w:drawing>
          <wp:inline xmlns:a="http://schemas.openxmlformats.org/drawingml/2006/main" xmlns:pic="http://schemas.openxmlformats.org/drawingml/2006/picture">
            <wp:extent cx="3291839" cy="2116182"/>
            <wp:docPr id="43" name="Picture 43"/>
            <wp:cNvGraphicFramePr>
              <a:graphicFrameLocks noChangeAspect="1"/>
            </wp:cNvGraphicFramePr>
            <a:graphic>
              <a:graphicData uri="http://schemas.openxmlformats.org/drawingml/2006/picture">
                <pic:pic>
                  <pic:nvPicPr>
                    <pic:cNvPr id="0" name="image.png"/>
                    <pic:cNvPicPr/>
                  </pic:nvPicPr>
                  <pic:blipFill>
                    <a:blip r:embed="rId5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图43 ngl与gy关系及离群点分布</w:t>
      </w:r>
    </w:p>
    <w:p>
      <w:pPr>
        <w:pStyle w:val="Heading3"/>
        <w:keepNext/>
      </w:pPr>
      <w:r>
        <w:rPr>
          <w:rFonts w:ascii="Times New Roman" w:hAnsi="Times New Roman" w:eastAsia="Microsoft YaHei"/>
        </w:rPr>
        <w:t>3.7.3 品种差异与产量关联结论</w:t>
      </w:r>
    </w:p>
    <w:p>
      <w:pPr/>
      <w:r>
        <w:rPr>
          <w:rFonts w:ascii="Times New Roman" w:hAnsi="Times New Roman" w:eastAsia="Microsoft YaHei"/>
        </w:rPr>
        <w:t>可视化结果表明，`GY` 的差异不能仅理解为单一农艺性状的线性响应，而应放在 `Cultivar` 差异与性状组合背景下综合判断。一方面，前文已显示不同品种之间确实存在产量分化，且这种分化并非完全由整体样本波动随机形成；另一方面，`GY` 与多数单个性状之间又主要表现为弱正相关、离散度较高，这意味着高产更可能来自若干关键性状在特定品种中的协同出现，而不是某一个指标单独升高即可稳定带来增产。</w:t>
      </w:r>
    </w:p>
    <w:p>
      <w:pPr/>
      <w:r>
        <w:rPr>
          <w:rFonts w:ascii="Times New Roman" w:hAnsi="Times New Roman" w:eastAsia="Microsoft YaHei"/>
        </w:rPr>
        <w:t>从性状贡献方式看，`PH`、`IFP`、`NLP`、`NS`、`NGL` 等指标都提供了与 `GY` 相关的线索，但它们的解释力度存在明显边界。`PH` 与 `IFP` 的分布相对规整，说明这类性状更像是区分材料常规表现的基础指标；当它们处于较优区间时，往往有助于形成较好的产量表现，但并不足以单独决定 `GY` 高低。相比之下，`NLP`、`NS`、`NGL` 以及 `NGP` 的右偏和高值长尾更明显，说明真正拉开材料差异的，往往是少数样本在粒数相关性状上的突出表现。这类指标更接近高产潜力的放大器：它们未必在全体样本中都稳定有效，但在部分品种或特定环境下，确实可能对应更高的 `GY` 上限。</w:t>
      </w:r>
    </w:p>
    <w:p>
      <w:pPr/>
      <w:r>
        <w:rPr>
          <w:rFonts w:ascii="Times New Roman" w:hAnsi="Times New Roman" w:eastAsia="Microsoft YaHei"/>
        </w:rPr>
        <w:t>结合品种层面的观察，可以将本批数据中的产量形成逻辑概括为“品种决定潜力上限，关键性状影响释放程度”。不同 `Cultivar` 的遗传背景与适应性差异，使其即便处于相近季节和重复条件下，也可能呈现不同的 `GY` 水平；而 `PH`、`IFP`、`NLP`、`NS`、`NGL`、`NGP` 等性状，则更像是帮助识别这些潜力是否被表达出来的观测窗口。因此，在解释高产材料时，应重点关注“高产是否伴随多个关键性状同步偏优”，而不是把某一个高值性状直接视为高产品种的充分条件。</w:t>
      </w:r>
    </w:p>
    <w:p>
      <w:pPr/>
      <w:r>
        <w:rPr>
          <w:rFonts w:ascii="Times New Roman" w:hAnsi="Times New Roman" w:eastAsia="Microsoft YaHei"/>
        </w:rPr>
        <w:t>还需要注意的是，品种分析本身存在结构性约束。现有样本中 `Cultivar` 呈明显长尾分布，且大量记录被归入“Other”合并类别，这意味着部分品种差异可能被类别聚合所弱化，低频品种的表现也更容易受到少量观测值影响。在这种数据结构下，可以较稳妥地确认“品种差异客观存在，并且会改变若干关键性状与 `GY` 的对应关系”，但不宜对尾部品种作过强排序或下绝对化判断。</w:t>
      </w:r>
    </w:p>
    <w:p>
      <w:pPr/>
      <w:r>
        <w:rPr>
          <w:rFonts w:ascii="Times New Roman" w:hAnsi="Times New Roman" w:eastAsia="Microsoft YaHei"/>
        </w:rPr>
        <w:t>因此，本节结论更适合落在筛选逻辑而非单指标规则上：识别高潜力材料时，应优先关注在 `GY` 上表现较好、且同时在 `NLP`、`NS`、`NGL`、`NGP` 等粒数相关性状上出现优势信号的 `Cultivar`；对仅在单一指标上出现极端高值、但整体产量并不稳定的材料，则应保持审慎。对育种或试验决策而言，更可靠的做法是把品种背景作为主线，把关键性状作为辅助证据，联合判断材料的高产潜力与稳定性，而不是依据单一性状作简单推断。</w:t>
      </w:r>
    </w:p>
    <w:p>
      <w:pPr>
        <w:pStyle w:val="Heading1"/>
        <w:keepNext/>
      </w:pPr>
      <w:r>
        <w:rPr>
          <w:rFonts w:ascii="Times New Roman" w:hAnsi="Times New Roman" w:eastAsia="Microsoft YaHei"/>
        </w:rPr>
        <w:t>4 模型构建与评估</w:t>
      </w:r>
    </w:p>
    <w:p>
      <w:pPr/>
      <w:r>
        <w:rPr>
          <w:rFonts w:ascii="Times New Roman" w:hAnsi="Times New Roman" w:eastAsia="Microsoft YaHei"/>
        </w:rPr>
        <w:t>本节围绕 `GY` 的预测任务开展监督式回归建模与方法比较。基于 320 个样本、53 个特征，建模目标是评估不同回归方法对产量的拟合能力与泛化表现，并在试验分组约束下筛选更稳健的预测方案。为保证特征矩阵与目标向量切分一致，建模前先检查 `GY` 所在列位置；若其不在最后一列，则先移动至表尾，再完成自变量与因变量划分。</w:t>
      </w:r>
    </w:p>
    <w:p>
      <w:pPr/>
      <w:r>
        <w:rPr>
          <w:rFonts w:ascii="Times New Roman" w:hAnsi="Times New Roman" w:eastAsia="Microsoft YaHei"/>
        </w:rPr>
        <w:t>在数据进入模型之前，预处理流程延续了前文的数据整理口径。布尔型字段统一转换为整数型；`object` 或 `category` 类型字段中的缺失值填补为 `"Missing"`；数值型特征先转为浮点数，再将非有限值替换为缺失，并以列中位数完成填补，若整列无法计算有效中位数，则回退到 `0.0`。从字段命名可以看出，`Cultivar_...`、`Season_...`、`Repetition_...` 等类别信息已经以哑变量或指示变量形式进入特征空间。针对模型差异，`LightGBMRegressor` 与 `XGBoostRegressor` 未进行额外标准化，而 `ElasticNet` 使用了数值特征标准化 `standardize_numeric_features`，以满足线性正则化模型对尺度一致性的要求。</w:t>
      </w:r>
    </w:p>
    <w:p>
      <w:pPr/>
      <w:r>
        <w:rPr>
          <w:rFonts w:ascii="Times New Roman" w:hAnsi="Times New Roman" w:eastAsia="Microsoft YaHei"/>
        </w:rPr>
        <w:t>评估设计采用分组感知验证，而不是普通随机切分。具体做法是基于 `cultivar`、`season`、`repetition` 三类信息构造复合分组，并据此实施 5 折交叉验证与 80%/20% 留出集检验。这一策略可以降低同组样本同时出现在训练集和验证集中的风险，使模型评估更接近面对未见组合模式时的真实泛化表现。由于验证条件更严格，模型分数相对保守，但结果的可信度更高。</w:t>
      </w:r>
    </w:p>
    <w:p>
      <w:pPr/>
      <w:r>
        <w:rPr>
          <w:rFonts w:ascii="Times New Roman" w:hAnsi="Times New Roman" w:eastAsia="Microsoft YaHei"/>
        </w:rPr>
        <w:t>候选模型包括 `LightGBMRegressor`、`XGBoostRegressor` 和 `ElasticNet`。评价指标使用 RMSE、MAE 与 R²，并以 `composite_of_cv_rmse_cv_mae_cv_r2` 作为最优模型判定依据。从对比结果看，`XGBoostRegressor` 在全部候选模型中表现最佳：`cv_mae` 为 0.4790（最优），`cv_r2` 为 0.4390（最优），`cv_rmse` 为 0.6334（最优）；`holdout_mae` 为 0.5204（最优），`holdout_r2` 为 0.4625（最优），`holdout_rmse` 为 0.6414（最优）。对应的最优模型结论为 `best_model：XGBoostRegressor`，最优依据是 `composite_of_cv_rmse_cv_mae_cv_r2`，综合得分 = -0.6735。就交叉验证与留出集的接近程度而言，该模型没有表现出明显的性能塌陷，说明其在当前数据设定下兼顾了误差控制与泛化稳定性。</w:t>
      </w:r>
    </w:p>
    <w:p>
      <w:pPr/>
      <w:r>
        <w:rPr>
          <w:rFonts w:ascii="Times New Roman" w:hAnsi="Times New Roman" w:eastAsia="Microsoft YaHei"/>
        </w:rPr>
        <w:t>相较之下，`LightGBMRegressor` 的结果明显偏弱。其 `cv_mae` 为 0.6610，`cv_r2` 为 -0.0845，`cv_rmse` 为 0.8822；`holdout_mae` 为 0.6584，`holdout_r2` 为 0.0019，`holdout_rmse` 为 0.8740。交叉验证阶段的 R² 为负，说明模型未能稳定解释 `GY` 的方差；留出集 R² 虽为正，但仅为 0.0019，仍接近无解释力状态。这表明 `LightGBMRegressor` 在当前样本规模、特征结构与分组验证约束下，对目标变量的拟合能力较弱。</w:t>
      </w:r>
    </w:p>
    <w:p>
      <w:pPr/>
      <w:r>
        <w:rPr>
          <w:rFonts w:ascii="Times New Roman" w:hAnsi="Times New Roman" w:eastAsia="Microsoft YaHei"/>
        </w:rPr>
        <w:t>`ElasticNet` 的表现也未达到理想水平。其 `cv_mae` 为 0.6563，`cv_r2` 为 -0.0152，`cv_rmse` 为 0.8632；`holdout_mae` 为 0.6298，`holdout_r2` 为 -0.0006，`holdout_rmse` 为 0.8751。虽然部分误差指标与 `LightGBMRegressor` 接近，但 R² 在交叉验证和留出集上均接近 0 或小于 0，说明线性结构在当前特征空间下难以有效刻画 `GY`。结合执行结果中的解读，`ElasticNet` 还呈现出明显的“过度收缩”现象，反映出线性正则化方法对当前任务中的复杂关系适配不足。</w:t>
      </w:r>
    </w:p>
    <w:p>
      <w:pPr/>
      <w:r>
        <w:rPr>
          <w:rFonts w:ascii="Times New Roman" w:hAnsi="Times New Roman" w:eastAsia="Microsoft YaHei"/>
        </w:rPr>
        <w:t>从模型比较结果可以进一步看出，当前 `GY` 预测问题并不适合仅依赖简单线性关系进行刻画。前文可视化分析已经表明，`GY` 与多项农艺性状之间多为弱正相关、离散度较高，且品种差异、季次条件和重复结构共同影响产量表现。在这种数据背景下，能够处理非线性关系和交互效应的提升树方法更具优势。`XGBoostRegressor` 同时优于 `LightGBMRegressor` 和 `ElasticNet`，说明当前特征空间中确实存在可被树模型捕捉、但难以被线性模型稳定表达的结构信息。</w:t>
      </w:r>
    </w:p>
    <w:p>
      <w:pPr/>
      <w:r>
        <w:rPr>
          <w:rFonts w:ascii="Times New Roman" w:hAnsi="Times New Roman" w:eastAsia="Microsoft YaHei"/>
        </w:rPr>
        <w:t>不过，这一结果也应结合数据边界加以理解。当前建模仅基于 320 个样本和 53 个特征，且验证方式采用了由 `cultivar`、`season`、`repetition` 组成的复合分组，因此模型需要面对较严格的泛化检验。这样的设置提升了评估可信度，也意味着分数本身不宜被解读为在任意新样本上的充分保证。尤其在 `Cultivar` 长尾分布仍然存在的条件下，不同组别覆盖度不完全一致，模型对低频组合的稳定预测能力仍可能受限。</w:t>
      </w:r>
    </w:p>
    <w:p>
      <w:pPr/>
      <w:r>
        <w:rPr>
          <w:rFonts w:ascii="Times New Roman" w:hAnsi="Times New Roman" w:eastAsia="Microsoft YaHei"/>
        </w:rPr>
        <w:t>因此，在本报告当前证据下，`XGBoostRegressor` 可以作为 `GY` 预测任务的优先方案纳入后续分析与应用讨论。其优势不在于实现了对产量的完全解释，而在于相较其他候选模型，已经更有效地整合了农艺性状、类别展开特征以及试验分组信息，能够在严格验证条件下取得更好的误差表现与解释能力。与此同时，`LightGBMRegressor` 与 `ElasticNet` 的结果也提供了反向参照：前者说明并非所有树模型都能在当前任务中自然获得优势，后者则进一步印证 `GY` 的形成机制难以被单一线性框架充分概括。</w:t>
      </w:r>
    </w:p>
    <w:p>
      <w:pPr>
        <w:pStyle w:val="Heading2"/>
        <w:keepNext/>
      </w:pPr>
      <w:r>
        <w:rPr>
          <w:rFonts w:ascii="Times New Roman" w:hAnsi="Times New Roman" w:eastAsia="Microsoft YaHei"/>
        </w:rPr>
        <w:t>4.1 建模目标与特征方案</w:t>
      </w:r>
    </w:p>
    <w:p>
      <w:pPr/>
      <w:r>
        <w:rPr>
          <w:rFonts w:ascii="Times New Roman" w:hAnsi="Times New Roman" w:eastAsia="Microsoft YaHei"/>
        </w:rPr>
        <w:t>本节的建模任务被明确设定为以 `GY` 为目标变量的监督式回归问题，核心目的是在现有试验数据上建立能够预测产量水平的模型，并为后续模型比较提供统一输入。执行结果显示，本次训练与评估共使用 320 个样本、53 个特征，因此特征方案并非围绕单一农艺指标展开，而是基于多变量联合输入来刻画 `GY` 的变化。结合前文可视化分析中“单一性状难以充分解释产量差异”的发现，这样的任务定义具有针对性：模型需要同时吸收品种、季次、重复以及农艺性状等多方面信息，才能更接近真实的产量形成机制。</w:t>
      </w:r>
    </w:p>
    <w:p>
      <w:pPr/>
      <w:r>
        <w:rPr>
          <w:rFonts w:ascii="Times New Roman" w:hAnsi="Times New Roman" w:eastAsia="Microsoft YaHei"/>
        </w:rPr>
        <w:t>在输入构造上，首先需要保证目标变量与特征矩阵的切分边界清晰一致。为此，建模前先检测 `GY` 所在列位置；若其不在最后一列，则先将其移动至表尾，再完成自变量与因变量划分。这一步虽然属于技术性整理，但对后续建模非常关键，因为它直接关系到特征提取与目标读取是否一致，能够避免因列顺序问题引入不必要的训练偏差。</w:t>
      </w:r>
    </w:p>
    <w:p>
      <w:pPr/>
      <w:r>
        <w:rPr>
          <w:rFonts w:ascii="Times New Roman" w:hAnsi="Times New Roman" w:eastAsia="Microsoft YaHei"/>
        </w:rPr>
        <w:t>特征方案延续了前文的数据清洗口径，并兼顾不同字段类型的可建模性。布尔型字段统一转换为整数型，使其能够直接进入算法计算；`object` 或 `category` 类型字段中的缺失值统一填补为 `"Missing"`，以保留缺失本身所携带的类别信息，并减少编码阶段的异常风险。对数值型特征，则先统一转为浮点数，再将非有限值替换为缺失，之后使用列中位数完成填补；若整列无法得到有效中位数，则回退到 `0.0`。这一处理方案说明，本节的特征设计并不是简单地“保留原表字段”，而是先将原始记录整理为可稳定训练的标准化输入结构。</w:t>
      </w:r>
    </w:p>
    <w:p>
      <w:pPr/>
      <w:r>
        <w:rPr>
          <w:rFonts w:ascii="Times New Roman" w:hAnsi="Times New Roman" w:eastAsia="Microsoft YaHei"/>
        </w:rPr>
        <w:t>从字段命名可以看出，类别信息已经以展开后的形式进入特征空间，典型如 `Cultivar_...`、`Season_...`、`Repetition_...`。这意味着模型输入不仅包含连续型农艺性状，也包含试验组织结构相关的指示变量。对于 `GY` 预测而言，这样的设计是必要的：一方面，`Cultivar` 对产量潜力具有明显区分作用；另一方面，`Season` 与 `Repetition` 代表试验环境和重复条件，能够帮助模型识别同样性状组合在不同试验背景下的表现差异。由此形成的 53 维特征空间，本质上是将农艺表现信息与分组背景信息合并后的综合输入。</w:t>
      </w:r>
    </w:p>
    <w:p>
      <w:pPr/>
      <w:r>
        <w:rPr>
          <w:rFonts w:ascii="Times New Roman" w:hAnsi="Times New Roman" w:eastAsia="Microsoft YaHei"/>
        </w:rPr>
        <w:t>不同模型对输入尺度的要求并不完全一致，因此特征方案中还包含了与算法相匹配的处理分支。树模型 `LightGBMRegressor` 与 `XGBoostRegressor` 未进行额外标准化，保持了原始数值在树分裂中的使用方式；`ElasticNet` 则采用了数值特征标准化 `standardize_numeric_features`，以满足线性正则化模型对尺度一致性的要求。这一安排说明，本节的特征设计并非单一固定格式，而是在统一清洗基础上，对不同模型保留必要的输入适配策略，从而保证后续比较尽量建立在公平且合理的前提上。</w:t>
      </w:r>
    </w:p>
    <w:p>
      <w:pPr/>
      <w:r>
        <w:rPr>
          <w:rFonts w:ascii="Times New Roman" w:hAnsi="Times New Roman" w:eastAsia="Microsoft YaHei"/>
        </w:rPr>
        <w:t>除字段本身外，特征方案还与验证设计紧密耦合。执行过程显示，样本分组依据来自 `cultivar`、`season`、`repetition` 三类信息，并进一步组合形成复合分组，用于分组感知交叉验证与 80%/20% 留出集划分。虽然这一部分更偏向评估设计，但它也反过来限定了特征方案的理解方式：当前输入变量不仅用于拟合已见样本，更需要支持模型面对未见分组组合时的泛化判断。因此，本节所界定的输入变量设计，目标并不是最大化对训练样本的记忆能力，而是在控制信息泄漏风险的前提下，让模型从农艺性状与试验背景中学习可迁移的预测线索。</w:t>
      </w:r>
    </w:p>
    <w:p>
      <w:pPr/>
      <w:r>
        <w:rPr>
          <w:rFonts w:ascii="Times New Roman" w:hAnsi="Times New Roman" w:eastAsia="Microsoft YaHei"/>
        </w:rPr>
        <w:t>基于上述设定，本章后续比较的候选模型为 `LightGBMRegressor`、`XGBoostRegressor` 和 `ElasticNet`，评价指标使用 RMSE、MAE 与 R²，并以 `composite_of_cv_rmse_cv_mae_cv_r2` 作为综合选择依据。就本节而言，更重要的含义在于：后续模型优劣的差异，将建立在同一目标定义、同一数据整理口径以及同一特征空间框架之上。因此，这里的建模目标与特征方案既界定了“要预测什么”，也界定了“模型凭什么进行预测”，为后续候选模型设定与表现比较提供了统一且可追溯的输入基础。</w:t>
      </w:r>
    </w:p>
    <w:p>
      <w:pPr>
        <w:pStyle w:val="Heading3"/>
        <w:keepNext/>
      </w:pPr>
      <w:r>
        <w:rPr>
          <w:rFonts w:ascii="Times New Roman" w:hAnsi="Times New Roman" w:eastAsia="Microsoft YaHei"/>
        </w:rPr>
        <w:t>4.1.1 GY监督回归任务定义</w:t>
      </w:r>
    </w:p>
    <w:p>
      <w:pPr/>
      <w:r>
        <w:rPr>
          <w:rFonts w:ascii="Times New Roman" w:hAnsi="Times New Roman" w:eastAsia="Microsoft YaHei"/>
        </w:rPr>
        <w:t>本节将建模问题明确界定为以 `GY` 为预测目标的监督式回归任务。模型输出不是类别标签或分组判断，而是对单个样本 `GY` 数值水平的连续型预测结果。基于现有 320 个样本、53 个特征，任务目标是在多变量联合输入的条件下学习 `GY` 的变化规律，为后续不同回归方法的效果比较提供统一而清晰的任务边界。</w:t>
      </w:r>
    </w:p>
    <w:p>
      <w:pPr/>
      <w:r>
        <w:rPr>
          <w:rFonts w:ascii="Times New Roman" w:hAnsi="Times New Roman" w:eastAsia="Microsoft YaHei"/>
        </w:rPr>
        <w:t>这一任务定义对应的应用目标，首先是提升对产量水平的定量刻画能力。在已有试验数据中，`GY` 受农艺性状、品种、季次和重复等多类因素共同影响，单一指标难以完整解释其变化，因此需要通过监督式回归把这些信息整合到同一预测框架中。模型在这里承担的是“产量估计器”的角色，即根据样本的已知特征输出一个可比较、可排序、可用于误差评估的 `GY` 预测值。</w:t>
      </w:r>
    </w:p>
    <w:p>
      <w:pPr/>
      <w:r>
        <w:rPr>
          <w:rFonts w:ascii="Times New Roman" w:hAnsi="Times New Roman" w:eastAsia="Microsoft YaHei"/>
        </w:rPr>
        <w:t>从应用场景看，这一定义不仅服务于算法层面的拟合精度比较，更服务于试验条件下的产量预测与方案筛选。也就是说，本节关注的不是抽象地判断某个样本“好”或“不好”，而是在统一口径下估计其 `GY` 水平，从而为后续识别更稳健的建模方案提供依据。由于评估采用了基于 `cultivar`、`season`、`repetition` 复合分组的分组感知验证，模型需要面对未见组合模式的泛化要求，因此这里的预测目标更接近真实试验应用中的外推场景，而不是仅在随机切分条件下追求表面上的高分数。</w:t>
      </w:r>
    </w:p>
    <w:p>
      <w:pPr/>
      <w:r>
        <w:rPr>
          <w:rFonts w:ascii="Times New Roman" w:hAnsi="Times New Roman" w:eastAsia="Microsoft YaHei"/>
        </w:rPr>
        <w:t>为保证这一监督回归任务能够被稳定执行，建模前还对输入输出边界进行了明确整理。具体而言，先检查目标列 `GY` 所在位置；若其不在最后一列，则先移动至表尾，再完成特征矩阵与目标向量的划分。围绕这一目标变量，模型输入端保留了经整理后的多类型特征，包括已展开的 `Cultivar_...`、`Season_...`、`Repetition_...` 指示变量以及其他数值型字段，使任务定义从一开始就面向“多因素共同预测 `GY`”，而不是面向单一性状解释。</w:t>
      </w:r>
    </w:p>
    <w:p>
      <w:pPr/>
      <w:r>
        <w:rPr>
          <w:rFonts w:ascii="Times New Roman" w:hAnsi="Times New Roman" w:eastAsia="Microsoft YaHei"/>
        </w:rPr>
        <w:t>从后续模型比较结果也可以反向说明，这样的任务设定具有现实必要性。候选模型中，`XGBoostRegressor` 在交叉验证与留出集上均取得最优结果，`cv_mae` 为 0.4790（最优），`cv_r2` 为 0.4390（最优），`cv_rmse` 为 0.6334（最优），`holdout_mae` 为 0.5204（最优），`holdout_r2` 为 0.4625（最优），`holdout_rmse` 为 0.6414（最优）。这表明将 `GY` 定义为连续型监督学习目标后，模型确实能够从现有特征中提取出具有预测价值的信号，并为后续选择最优回归方案提供可量化依据。</w:t>
      </w:r>
    </w:p>
    <w:p>
      <w:pPr>
        <w:pStyle w:val="Heading3"/>
        <w:keepNext/>
      </w:pPr>
      <w:r>
        <w:rPr>
          <w:rFonts w:ascii="Times New Roman" w:hAnsi="Times New Roman" w:eastAsia="Microsoft YaHei"/>
        </w:rPr>
        <w:t>4.1.2 数值特征与类别特征组成</w:t>
      </w:r>
    </w:p>
    <w:p>
      <w:pPr/>
      <w:r>
        <w:rPr>
          <w:rFonts w:ascii="Times New Roman" w:hAnsi="Times New Roman" w:eastAsia="Microsoft YaHei"/>
        </w:rPr>
        <w:t>进入模型的变量由两部分共同构成：一类是数值特征，另一类是类别特征经展开后的指示变量。结合执行结果，本次 `GY` 监督回归建模共使用 53 个特征，这说明输入并非仅由少数农艺指标组成，而是将田间试验中的连续性状信息与试验组织信息同时纳入，用于共同刻画 `GY` 的变化。</w:t>
      </w:r>
    </w:p>
    <w:p>
      <w:pPr/>
      <w:r>
        <w:rPr>
          <w:rFonts w:ascii="Times New Roman" w:hAnsi="Times New Roman" w:eastAsia="Microsoft YaHei"/>
        </w:rPr>
        <w:t>数值特征主要对应可直接以连续数值形式进入算法计算的字段。针对这部分变量，建模前先统一转为浮点数，并将非有限值替换为缺失，再使用列中位数完成填补；若整列无法得到有效中位数，则回退到 `0.0`。这种处理方式表明，进入模型的数值输入并不限于原始表中“天然干净”的字段，而是经过一致化整理后形成的可训练数值矩阵。对布尔型字段，则先转换为整数型，使其能够作为数值输入参与模型学习。</w:t>
      </w:r>
    </w:p>
    <w:p>
      <w:pPr/>
      <w:r>
        <w:rPr>
          <w:rFonts w:ascii="Times New Roman" w:hAnsi="Times New Roman" w:eastAsia="Microsoft YaHei"/>
        </w:rPr>
        <w:t>类别特征则主要体现为试验分组与组织结构相关的信息。根据特征命名，数据中已经包含 `Cultivar_...`、`Season_...`、`Repetition_...` 这类展开后的字段，说明原始类别变量并非以文本标签直接输入模型，而是以哑变量/指示变量形式进入特征空间。这样的构成使模型能够同时识别样本所属的品种、季次和重复条件，并将这些背景差异与农艺性状一起纳入对 `GY` 的预测。</w:t>
      </w:r>
    </w:p>
    <w:p>
      <w:pPr/>
      <w:r>
        <w:rPr>
          <w:rFonts w:ascii="Times New Roman" w:hAnsi="Times New Roman" w:eastAsia="Microsoft YaHei"/>
        </w:rPr>
        <w:t>需要强调的是，类别特征在这里不仅服务于模型输入，也与评估设计保持一致。执行过程中以 `cultivar`、`season`、`repetition` 组合形成复合分组，用于分组感知交叉验证与留出集划分。这意味着模型所使用的类别信息，与后续检验泛化能力时所控制的试验结构因素是同一来源，从而使“输入变量范围”与“验证约束范围”在逻辑上保持一致。</w:t>
      </w:r>
    </w:p>
    <w:p>
      <w:pPr/>
      <w:r>
        <w:rPr>
          <w:rFonts w:ascii="Times New Roman" w:hAnsi="Times New Roman" w:eastAsia="Microsoft YaHei"/>
        </w:rPr>
        <w:t>从建模适配性看，这种由数值特征和展开后类别特征共同组成的输入结构，能够同时支持不同类型的回归模型。`LightGBMRegressor` 与 `XGBoostRegressor` 直接使用该特征结构进行训练，不额外进行标准化；`ElasticNet` 则在此基础上对数值特征实施 `standardize_numeric_features`。因此，本节所界定的变量范围，本质上是一个兼容树模型与线性模型的统一特征集合，而不是针对单一算法单独构造的输入方案。</w:t>
      </w:r>
    </w:p>
    <w:p>
      <w:pPr>
        <w:pStyle w:val="Heading3"/>
        <w:keepNext/>
      </w:pPr>
      <w:r>
        <w:rPr>
          <w:rFonts w:ascii="Times New Roman" w:hAnsi="Times New Roman" w:eastAsia="Microsoft YaHei"/>
        </w:rPr>
        <w:t>4.1.3 预处理后特征空间说明</w:t>
      </w:r>
    </w:p>
    <w:p>
      <w:pPr/>
      <w:r>
        <w:rPr>
          <w:rFonts w:ascii="Times New Roman" w:hAnsi="Times New Roman" w:eastAsia="Microsoft YaHei"/>
        </w:rPr>
        <w:t>预处理完成后，建模输入已由原始混合字段转化为可直接送入算法的全数值特征空间。依据执行结果，处理后的数据为 320 条记录、54 列，其中包含目标变量 `GY` 在内；据此可知，真正进入模型的输入特征为除 `GY` 之外的 53 个字段。该特征空间不再保留原始文本类别，而是以连续数值列与独热编码列共同构成统一矩阵，使不同算法能够在一致输入口径下进行训练与比较。</w:t>
      </w:r>
    </w:p>
    <w:p>
      <w:pPr/>
      <w:r>
        <w:rPr>
          <w:rFonts w:ascii="Times New Roman" w:hAnsi="Times New Roman" w:eastAsia="Microsoft YaHei"/>
        </w:rPr>
        <w:t>从列结构看，数值型农艺性状已经完成稳健标准化，典型字段包括 `PH`、`IFP`、`NLP`、`NGP`、`NGL`、`NS` 和 `MHG`。这些变量在预处理阶段先进行了数值化整理，并通过中位数填补保证列内完整性，随后再按中位数与四分位距进行缩放。因此，预处理后的取值不再表示原始测量单位，而表示样本相对总体中心位置的偏离程度。示例记录中这类字段同时出现正值与负值，说明不同量纲的性状已被压缩到可比较的共同尺度上，有助于降低尺度差异和极端值对建模过程的干扰。</w:t>
      </w:r>
    </w:p>
    <w:p>
      <w:pPr/>
      <w:r>
        <w:rPr>
          <w:rFonts w:ascii="Times New Roman" w:hAnsi="Times New Roman" w:eastAsia="Microsoft YaHei"/>
        </w:rPr>
        <w:t>类别信息则通过独热编码显式展开为一组 0/1 指示变量。当前列名中可直接看到 `Season_1`、`Season_2`，`Repetition_1` 至 `Repetition_4`，以及大量以 `Cultivar_` 开头的品种列，如 `Cultivar_NEO 760 CE`、`Cultivar_MANU IPRO`、`Cultivar_MONSOY 8330I2X` 等。这表明原始的 `Season`、`Repetition` 和 `Cultivar` 不再以单列标签形式存在，而是被映射为若干互斥的类别位置。对单个样本而言，其所属类别通过对应列取值为 1.0 来表达，其他同组类别列取值为 0.0，从而把试验结构信息直接嵌入特征空间。</w:t>
      </w:r>
    </w:p>
    <w:p>
      <w:pPr/>
      <w:r>
        <w:rPr>
          <w:rFonts w:ascii="Times New Roman" w:hAnsi="Times New Roman" w:eastAsia="Microsoft YaHei"/>
        </w:rPr>
        <w:t>这一特征空间的一个重要特点是，连续性状信息与试验组织信息被同时保留。前者用于描述样本在农艺表现上的数量差异，后者用于标记样本所属的季次、品种和重复条件。以 `GY` 预测为目标时，这样的输入结构能够让模型同时接触“样本本身表现”和“样本所处试验背景”两类信息，而不是仅依据少数连续指标进行拟合。尤其是 `Cultivar_...`、`Season_...`、`Repetition_...` 这些展开列的存在，使类别因素不必经过额外解释即可参与数值计算，也便于后续不同回归模型共享同一套输入矩阵。</w:t>
      </w:r>
    </w:p>
    <w:p>
      <w:pPr/>
      <w:r>
        <w:rPr>
          <w:rFonts w:ascii="Times New Roman" w:hAnsi="Times New Roman" w:eastAsia="Microsoft YaHei"/>
        </w:rPr>
        <w:t>从矩阵形式看，预处理后的数据已经具备较强的建模兼容性。所有输入列均为数值型，数值特征经过统一缩放，类别特征以哑变量形式展开，展示样本中未见保留的文本值或明显缺失位。这意味着后续模型阶段无需再额外处理原始类别标签或量纲不一致问题，而可以直接围绕这 53 维输入特征学习 `GY` 的变化规律。这样的特征空间既保持了原始试验信息的可表达性，又满足了监督回归对规范化数值输入的基本要求。</w:t>
      </w:r>
    </w:p>
    <w:p>
      <w:pPr>
        <w:pStyle w:val="Heading2"/>
        <w:keepNext/>
      </w:pPr>
      <w:r>
        <w:rPr>
          <w:rFonts w:ascii="Times New Roman" w:hAnsi="Times New Roman" w:eastAsia="Microsoft YaHei"/>
        </w:rPr>
        <w:t>4.2 候选模型设定</w:t>
      </w:r>
    </w:p>
    <w:p>
      <w:pPr/>
      <w:r>
        <w:rPr>
          <w:rFonts w:ascii="Times New Roman" w:hAnsi="Times New Roman" w:eastAsia="Microsoft YaHei"/>
        </w:rPr>
        <w:t>本节在统一的 `GY` 监督回归任务下设置三类候选模型，分别为 `LightGBMRegressor`、`XGBoostRegressor` 和 `ElasticNet`。这样的组合覆盖了两类主要建模思路：一类是以 `LightGBMRegressor` 与 `XGBoostRegressor` 为代表的树模型，用于捕捉特征之间可能存在的非线性关系与交互效应；另一类是以 `ElasticNet` 为代表的线性正则化模型，用作具有明确收缩机制的对照方案。三种方法均基于同一批 320 个样本、53 个特征开展训练与评估，从而保证比较建立在一致的数据基础之上。</w:t>
      </w:r>
    </w:p>
    <w:p>
      <w:pPr/>
      <w:r>
        <w:rPr>
          <w:rFonts w:ascii="Times New Roman" w:hAnsi="Times New Roman" w:eastAsia="Microsoft YaHei"/>
        </w:rPr>
        <w:t>候选模型的设定并不是简单堆叠算法名称，而是围绕当前特征结构的适配性展开。输入端同时包含数值型农艺性状与 `Cultivar_...`、`Season_...`、`Repetition_...` 等展开后的指示变量，这意味着模型既要处理连续变量，也要吸收试验组织信息。对于这一特征空间，树模型 `LightGBMRegressor` 与 `XGBoostRegressor` 直接在现有输入上训练，不进行额外标准化；`ElasticNet` 则配套使用数值特征标准化（`standardize_numeric_features`），以满足线性正则化模型对尺度一致性的要求。这样的设置使不同模型能够在各自较为合理的预处理条件下参与比较，同时避免因输入尺度不一致而对线性模型造成额外干扰。</w:t>
      </w:r>
    </w:p>
    <w:p>
      <w:pPr/>
      <w:r>
        <w:rPr>
          <w:rFonts w:ascii="Times New Roman" w:hAnsi="Times New Roman" w:eastAsia="Microsoft YaHei"/>
        </w:rPr>
        <w:t>在比较原则上，本节将三种模型统一纳入分组感知的评估框架中，并使用 RMSE、MAE 与 R² 作为核心指标。进一步的最优模型判定依据为 `composite_of_cv_rmse_cv_mae_cv_r2`，也就是同时关注误差大小与拟合能力，而不是仅依赖单一分数。由于验证过程采用基于 `cultivar`、`season`、`repetition` 复合分组的 5 折交叉验证，并结合 80%/20% 留出集检验，因此候选模型的比较重点不只是训练拟合能力，还包括面对未见组合模式时的泛化稳定性。</w:t>
      </w:r>
    </w:p>
    <w:p>
      <w:pPr/>
      <w:r>
        <w:rPr>
          <w:rFonts w:ascii="Times New Roman" w:hAnsi="Times New Roman" w:eastAsia="Microsoft YaHei"/>
        </w:rPr>
        <w:t>从候选模型的实际表现看，三者之间形成了较清晰的层次。`XGBoostRegressor` 为当前最优模型，其交叉验证指标为 `cv_mae = 0.4790（最优）`、`cv_r2 = 0.4390（最优）`、`cv_rmse = 0.6334（最优）`，留出集指标为 `holdout_mae = 0.5204（最优）`、`holdout_r2 = 0.4625（最优）`、`holdout_rmse = 0.6414（最优）`。`LightGBMRegressor` 的交叉验证指标为 `cv_mae = 0.6610`、`cv_r2 = -0.0845`、`cv_rmse = 0.8822`，留出集指标为 `holdout_mae = 0.6584`、`holdout_r2 = 0.0019`、`holdout_rmse = 0.8740`。`ElasticNet` 的交叉验证指标为 `cv_mae = 0.6563`、`cv_r2 = -0.0152`、`cv_rmse = 0.8632`，留出集指标为 `holdout_mae = 0.6298`、`holdout_r2 = -0.0006`、`holdout_rmse = 0.8751`。按照现有证据，`XGBoostRegressor` 在误差控制和解释能力上均明显优于另外两种模型，是本节候选方案中最值得优先保留的方法。</w:t>
      </w:r>
    </w:p>
    <w:p>
      <w:pPr/>
      <w:r>
        <w:rPr>
          <w:rFonts w:ascii="Times New Roman" w:hAnsi="Times New Roman" w:eastAsia="Microsoft YaHei"/>
        </w:rPr>
        <w:t>就候选模型设定本身的意义而言，这一结果说明当前 `GY` 预测任务并不适合只依赖简单线性结构来建模。`ElasticNet` 作为线性正则化模型，在交叉验证和留出集上的 `R²` 均接近 0 或小于 0，反映出现有特征空间中的有效信号并未被线性关系充分刻画；`LightGBMRegressor` 虽然同属树模型，但在当前数据设定下也未展现出理想拟合能力。相较之下，`XGBoostRegressor` 在交叉验证与留出集上的结果较为接近，并且综合得分为 `-0.6735`，表明其既能更好适应当前数据中的非线性模式，也能在较严格的分组约束下保持较稳定的泛化表现。因此，本节的候选模型设置不仅完成了算法层面的横向比较，也为后续围绕最优方案展开深入分析提供了明确依据。</w:t>
      </w:r>
    </w:p>
    <w:p>
      <w:pPr>
        <w:pStyle w:val="Heading3"/>
        <w:keepNext/>
      </w:pPr>
      <w:r>
        <w:rPr>
          <w:rFonts w:ascii="Times New Roman" w:hAnsi="Times New Roman" w:eastAsia="Microsoft YaHei"/>
        </w:rPr>
        <w:t>4.2.1 基线回归模型设定</w:t>
      </w:r>
    </w:p>
    <w:p>
      <w:pPr/>
      <w:r>
        <w:rPr>
          <w:rFonts w:ascii="Times New Roman" w:hAnsi="Times New Roman" w:eastAsia="Microsoft YaHei"/>
        </w:rPr>
        <w:t>为形成后续模型比较的参照系，本节将 `ElasticNet` 作为基线回归模型纳入 `GY` 预测任务。该模型属于线性正则化方法，适合在当前 320 个样本、53 个特征的统一输入空间中提供一个结构清晰、约束明确的对照结果。之所以将其作为基线，一方面在于它能够直接检验“线性关系是否足以解释 `GY` 变化”，另一方面也便于与后续树模型形成可解释的性能差异对比。</w:t>
      </w:r>
    </w:p>
    <w:p>
      <w:pPr/>
      <w:r>
        <w:rPr>
          <w:rFonts w:ascii="Times New Roman" w:hAnsi="Times New Roman" w:eastAsia="Microsoft YaHei"/>
        </w:rPr>
        <w:t>基线模型的输入沿用前序章节已经构建完成的特征矩阵，不再额外改变变量范围。也就是说，模型同时接收数值型农艺性状以及 `Cultivar_...`、`Season_...`、`Repetition_...` 等展开后的指示变量，在相同信息基础上完成训练与评估。考虑到 `ElasticNet` 对特征尺度较为敏感，本节对应采用数值特征标准化（`standardize_numeric_features`）；与之相对，树模型 `LightGBMRegressor` 和 `XGBoostRegressor` 不进行额外标准化。这样的处理使基线模型在其适配的输入条件下运行，从而保证后续对照更具公平性。</w:t>
      </w:r>
    </w:p>
    <w:p>
      <w:pPr/>
      <w:r>
        <w:rPr>
          <w:rFonts w:ascii="Times New Roman" w:hAnsi="Times New Roman" w:eastAsia="Microsoft YaHei"/>
        </w:rPr>
        <w:t>从方法角色看，`ElasticNet` 并不承担“争取最优分数”的任务，而是用于刻画一个带有收缩约束的线性参考面。若该模型已经能够取得较好结果，则说明 `GY` 与现有特征之间可能主要呈现较稳定的线性关联；若其表现明显受限，则意味着仅依赖线性叠加难以充分吸收当前数据中的异质性、非线性关系或交互结构。因而，设置这一基线模型的意义，在于为后续评估更复杂方法是否真正带来增益提供可量化的起点。</w:t>
      </w:r>
    </w:p>
    <w:p>
      <w:pPr/>
      <w:r>
        <w:rPr>
          <w:rFonts w:ascii="Times New Roman" w:hAnsi="Times New Roman" w:eastAsia="Microsoft YaHei"/>
        </w:rPr>
        <w:t>在统一的分组感知评估框架下，`ElasticNet` 的交叉验证指标为 `cv_mae = 0.6563`、`cv_r2 = -0.0152`、`cv_rmse = 0.8632`，留出集指标为 `holdout_mae = 0.6298`、`holdout_r2 = -0.0006`、`holdout_rmse = 0.8751`。从结果看，该基线模型在交叉验证与留出集上的 `R²` 均接近 0 或略小于 0，说明线性结构在当前特征空间下对 `GY` 的解释能力较弱。相较于 `XGBoostRegressor` 的最优结果，`ElasticNet` 更适合作为后续比较中的基础参照，而不是最终优选方案。</w:t>
      </w:r>
    </w:p>
    <w:p>
      <w:pPr>
        <w:pStyle w:val="Heading3"/>
        <w:keepNext/>
      </w:pPr>
      <w:r>
        <w:rPr>
          <w:rFonts w:ascii="Times New Roman" w:hAnsi="Times New Roman" w:eastAsia="Microsoft YaHei"/>
        </w:rPr>
        <w:t>4.2.2 树模型与集成模型设定</w:t>
      </w:r>
    </w:p>
    <w:p>
      <w:pPr/>
      <w:r>
        <w:rPr>
          <w:rFonts w:ascii="Times New Roman" w:hAnsi="Times New Roman" w:eastAsia="Microsoft YaHei"/>
        </w:rPr>
        <w:t>在树模型与集成模型的设定中，本节重点关注 `LightGBMRegressor` 与 `XGBoostRegressor` 两类方法在当前 `GY` 回归任务中的适配性。相较于线性模型主要依赖各特征的加性表达，这两种方法更适合处理农艺性状之间可能存在的阈值效应、非线性响应以及多变量交互关系。考虑到输入特征同时包含连续型农艺指标与 `Cultivar_...`、`Season_...`、`Repetition_...` 等指示变量，树模型能够在不预先手工构造高阶项的情况下，直接从数据中学习不同条件组合对 `GY` 的影响路径，因此被作为本节的核心候选方案。</w:t>
      </w:r>
    </w:p>
    <w:p>
      <w:pPr/>
      <w:r>
        <w:rPr>
          <w:rFonts w:ascii="Times New Roman" w:hAnsi="Times New Roman" w:eastAsia="Microsoft YaHei"/>
        </w:rPr>
        <w:t>两类树模型均在统一的特征矩阵上训练，不额外进行标准化处理。这一设定与其方法特性相匹配：树分裂主要依据特征取值的相对排序与分割位置展开，对数值尺度一致性的依赖弱于线性正则化模型。因而，在已经完成缺失值处理、类型转换和类别信息展开后，`LightGBMRegressor` 与 `XGBoostRegressor` 可以直接利用现有 320 个样本、53 个特征进入建模流程。这样的处理方式一方面保留了原始特征空间中连续变量与试验组织信息的联合结构，另一方面也避免了为树模型引入并无必要的额外缩放步骤。</w:t>
      </w:r>
    </w:p>
    <w:p>
      <w:pPr/>
      <w:r>
        <w:rPr>
          <w:rFonts w:ascii="Times New Roman" w:hAnsi="Times New Roman" w:eastAsia="Microsoft YaHei"/>
        </w:rPr>
        <w:t>从方法分工看，`LightGBMRegressor` 与 `XGBoostRegressor` 虽同属提升树框架，但在本研究中承担的是对“非线性建模能力”进行实证比较的角色。其核心目的不是单纯增加候选算法数量，而是检验在分组感知验证条件下，不同集成树方法对复杂关系的吸收能力是否存在明显差异。由于评估框架采用基于 `cultivar`、`season`、`repetition` 复合分组的 5 折交叉验证，并结合 80%/20% 留出集检验，因此这类模型不仅要在训练样本上获得较低误差，还需要对未见组合模式保持稳定泛化。</w:t>
      </w:r>
    </w:p>
    <w:p>
      <w:pPr/>
      <w:r>
        <w:rPr>
          <w:rFonts w:ascii="Times New Roman" w:hAnsi="Times New Roman" w:eastAsia="Microsoft YaHei"/>
        </w:rPr>
        <w:t>已得到的结果表明，两种树模型的表现存在明显分化。`LightGBMRegressor` 的交叉验证指标为 `cv_mae = 0.6610`、`cv_r2 = -0.0845`、`cv_rmse = 0.8822`，留出集指标为 `holdout_mae = 0.6584`、`holdout_r2 = 0.0019`、`holdout_rmse = 0.8740`；`XGBoostRegressor` 的交叉验证指标为 `cv_mae = 0.4790（最优）`、`cv_r2 = 0.4390（最优）`、`cv_rmse = 0.6334（最优）`，留出集指标为 `holdout_mae = 0.5204（最优）`、`holdout_r2 = 0.4625（最优）`、`holdout_rmse = 0.6414（最优）`。从这一对比可以看出，并非所有树模型都能自然适应当前任务；真正表现出优势的是 `XGBoostRegressor`，而不是树模型类别本身的笼统标签。</w:t>
      </w:r>
    </w:p>
    <w:p>
      <w:pPr/>
      <w:r>
        <w:rPr>
          <w:rFonts w:ascii="Times New Roman" w:hAnsi="Times New Roman" w:eastAsia="Microsoft YaHei"/>
        </w:rPr>
        <w:t>这组结果对模型设定的意义在于，当前 `GY` 预测问题更可能包含需要集成树方法刻画的复杂结构，但不同实现路径对这些结构的捕捉效率并不一致。`XGBoostRegressor` 在交叉验证与留出集上同时取得最优结果，说明其对当前特征空间中的非线性关系和交互信息利用更充分；相对地，`LightGBMRegressor` 的 `R²` 在交叉验证中为负、留出集也仅为 `0.0019`，表明其在本任务下未能形成有效解释力。因此，本节对树模型与集成模型的设定，实质上为后续进一步聚焦 `XGBoostRegressor` 提供了方法依据：非线性方案是必要的，但需要选择在当前数据结构下真正有效的实现。</w:t>
      </w:r>
    </w:p>
    <w:p>
      <w:pPr>
        <w:pStyle w:val="Heading3"/>
        <w:keepNext/>
      </w:pPr>
      <w:r>
        <w:rPr>
          <w:rFonts w:ascii="Times New Roman" w:hAnsi="Times New Roman" w:eastAsia="Microsoft YaHei"/>
        </w:rPr>
        <w:t>4.2.3 XGBoostRegressor配置</w:t>
      </w:r>
    </w:p>
    <w:p>
      <w:pPr/>
      <w:r>
        <w:rPr>
          <w:rFonts w:ascii="Times New Roman" w:hAnsi="Times New Roman" w:eastAsia="Microsoft YaHei"/>
        </w:rPr>
        <w:t>作为当前表现最优的候选模型，`XGBoostRegressor` 的配置重点不在额外的数据缩放，而在于与现有特征组织方式和验证框架的匹配。该模型直接使用已完成预处理的特征矩阵进行训练，输入包含数值型农艺性状以及 `Cultivar_...`、`Season_...`、`Repetition_...` 等展开后的指示变量；同时沿用建模前已统一完成的目标列重排、布尔型转整数、分类型缺失填补和数值型中位数填补结果。在这一设定下，模型能够基于 320 个样本、53 个特征直接学习 `GY` 与多类输入变量之间的非线性关系，而不额外引入针对树模型并非必需的标准化步骤。</w:t>
      </w:r>
    </w:p>
    <w:p>
      <w:pPr/>
      <w:r>
        <w:rPr>
          <w:rFonts w:ascii="Times New Roman" w:hAnsi="Times New Roman" w:eastAsia="Microsoft YaHei"/>
        </w:rPr>
        <w:t>从配置逻辑看，`XGBoostRegressor` 与 `LightGBMRegressor` 一样属于树模型，因此同样不进行额外标准化；这一点与 `ElasticNet` 采用 `standardize_numeric_features` 的处理形成了明确区分。这样的设定保证了模型比较建立在各方法各自适配的输入条件之上，也意味着 `XGBoostRegressor` 的优势主要来自其对复杂关系的刻画能力，而不是来自额外的特征缩放操作。对于当前同时包含连续变量和分组指示变量的特征空间，这种配置有利于模型直接吸收阈值效应、非线性响应以及变量间交互信息。</w:t>
      </w:r>
    </w:p>
    <w:p>
      <w:pPr/>
      <w:r>
        <w:rPr>
          <w:rFonts w:ascii="Times New Roman" w:hAnsi="Times New Roman" w:eastAsia="Microsoft YaHei"/>
        </w:rPr>
        <w:t>该模型的训练与评估继续置于分组感知框架下展开，即以 `cultivar`、`season`、`repetition` 组合形成复合分组，并结合 5 折交叉验证与 80%/20% 留出集检验使用。因而，这里的“配置”不仅指模型本身使用 `XGBoostRegressor`，也包括其所处的完整运行条件：输入特征不额外标准化、类别信息以前置展开特征形式进入模型、并在未见分组组合的约束下检验泛化能力。对于田间试验类数据而言，这种配置比普通随机切分下的训练方式更严格，也更接近实际应用场景。</w:t>
      </w:r>
    </w:p>
    <w:p>
      <w:pPr/>
      <w:r>
        <w:rPr>
          <w:rFonts w:ascii="Times New Roman" w:hAnsi="Times New Roman" w:eastAsia="Microsoft YaHei"/>
        </w:rPr>
        <w:t>从结果反推，这一配置是当前候选方案中最有效的。`XGBoostRegressor` 的交叉验证指标为 `cv_mae = 0.4790（最优）`、`cv_r2 = 0.4390（最优）`、`cv_rmse = 0.6334（最优）`，留出集指标为 `holdout_mae = 0.5204（最优）`、`holdout_r2 = 0.4625（最优）`、`holdout_rmse = 0.6414（最优）`。同时，其最优判定依据为 `composite_of_cv_rmse_cv_mae_cv_r2`，综合得分为 `-0.6735`。这说明在统一预处理和统一验证约束下，当前 `XGBoostRegressor` 配置已经同时兼顾了误差控制与拟合能力，因此被确定为后续重点解读的最佳候选模型。</w:t>
      </w:r>
    </w:p>
    <w:p>
      <w:pPr>
        <w:pStyle w:val="Heading2"/>
        <w:keepNext/>
      </w:pPr>
      <w:r>
        <w:rPr>
          <w:rFonts w:ascii="Times New Roman" w:hAnsi="Times New Roman" w:eastAsia="Microsoft YaHei"/>
        </w:rPr>
        <w:t>4.3 分组交叉验证评估设计</w:t>
      </w:r>
    </w:p>
    <w:p>
      <w:pPr/>
      <w:r>
        <w:rPr>
          <w:rFonts w:ascii="Times New Roman" w:hAnsi="Times New Roman" w:eastAsia="Microsoft YaHei"/>
        </w:rPr>
        <w:t>本节评估设计的核心不在于提高分数本身，而在于确保不同模型是在相同且贴近试验组织结构的条件下被比较。针对 `GY` 回归任务，验证方案采用 `group_aware_cv_with_composite_groups_and_80_20_holdout`，并以 `cultivar`、`season`、`repetition` 三类信息组合形成复合分组。在这一设定下，模型面对的不只是随机抽取的验证样本，而是训练阶段未出现过的分组组合，因此评估结果更能反映真实应用中的泛化能力。</w:t>
      </w:r>
    </w:p>
    <w:p>
      <w:pPr/>
      <w:r>
        <w:rPr>
          <w:rFonts w:ascii="Times New Roman" w:hAnsi="Times New Roman" w:eastAsia="Microsoft YaHei"/>
        </w:rPr>
        <w:t>具体而言，本研究未使用普通随机 K 折，而是实施 5 折分组交叉验证，并同时保留 80%/20% 的留出集检验。分组交叉验证用于观察模型在不同分组切分下的平均表现，留出集则提供一层独立的外部检验，两者共同构成稳健比较框架。对于田间试验数据，这种做法能够降低同一 `cultivar`、`season`、`repetition` 组合信息同时出现在训练集与验证集中的风险，从而避免模型借助组内相似性获得过于乐观的结果。也正因为约束更严格，这一框架下得到的指标通常比随机切分更保守，但可信度更高。</w:t>
      </w:r>
    </w:p>
    <w:p>
      <w:pPr/>
      <w:r>
        <w:rPr>
          <w:rFonts w:ascii="Times New Roman" w:hAnsi="Times New Roman" w:eastAsia="Microsoft YaHei"/>
        </w:rPr>
        <w:t>在执行流程上，所有候选模型都基于同一批预处理后的数据进入验证环节。建模样本为 320 个，特征数为 53，目标变量为 `GY`。在切分与训练之前，数据已完成目标列重排、布尔型变量转整数、`object` 或 `category` 类型缺失填补为 `"Missing"`、数值型特征缺失以中位数填补等处理；同时，类别信息已通过 `Cultivar_...`、`Season_...`、`Repetition_...` 等展开后的指示变量进入特征矩阵。这样的流程保证了各折之间输入口径一致，使模型差异更多体现为方法本身的学习能力，而非前置处理不一致带来的偏差。</w:t>
      </w:r>
    </w:p>
    <w:p>
      <w:pPr/>
      <w:r>
        <w:rPr>
          <w:rFonts w:ascii="Times New Roman" w:hAnsi="Times New Roman" w:eastAsia="Microsoft YaHei"/>
        </w:rPr>
        <w:t>该评估设计还兼顾了不同模型对输入形式的适配性。在统一分组切分规则下，`LightGBMRegressor` 与 `XGBoostRegressor` 不进行额外标准化，`ElasticNet` 则使用数值特征标准化（`standardize_numeric_features`）。这意味着比较基准并非“所有模型强行接受完全相同的数值变换”，而是在统一数据清洗和统一分组验证约束下，让不同方法按照其合理配置接受检验。由此得到的交叉验证与留出集结果，更适合用于判断模型在当前试验数据上的真实优劣。</w:t>
      </w:r>
    </w:p>
    <w:p>
      <w:pPr/>
      <w:r>
        <w:rPr>
          <w:rFonts w:ascii="Times New Roman" w:hAnsi="Times New Roman" w:eastAsia="Microsoft YaHei"/>
        </w:rPr>
        <w:t>从评估目的看，这一分组感知设计直接服务于候选模型的稳健比较。模型不仅需要在 5 折交叉验证中维持较低误差和较好的 `R²`，还需要在 80%/20% 留出集上保持接近的表现，才能被视为具备可靠泛化能力。现有结果中，`XGBoostRegressor` 的 `cv_mae = 0.4790（最优）`、`cv_r2 = 0.4390（最优）`、`cv_rmse = 0.6334（最优）`，且 `holdout_mae = 0.5204（最优）`、`holdout_r2 = 0.4625（最优）`、`holdout_rmse = 0.6414（最优）`；交叉验证与留出集指标保持接近，说明该验证框架不仅能够识别模型精度差异，也能够识别泛化稳定性差异。相对地，`LightGBMRegressor` 与 `ElasticNet` 在这一更严格框架下的 `R²` 表现较弱，表明其对未见分组组合的适应能力有限。</w:t>
      </w:r>
    </w:p>
    <w:p>
      <w:pPr/>
      <w:r>
        <w:rPr>
          <w:rFonts w:ascii="Times New Roman" w:hAnsi="Times New Roman" w:eastAsia="Microsoft YaHei"/>
        </w:rPr>
        <w:t>因此，本节的评估设计实质上为模型比较建立了统一、严格且贴近试验实际的基准。以 `cultivar`、`season`、`repetition` 复合分组为约束的 5 折交叉验证，配合 80%/20% 留出集检验，使结论不依赖偶然的随机切分结果，而建立在对未见组合模式的持续检验之上。这也是后续判定 `XGBoostRegressor` 为当前最优模型的重要方法学前提。</w:t>
      </w:r>
    </w:p>
    <w:p>
      <w:pPr>
        <w:pStyle w:val="Heading3"/>
        <w:keepNext/>
      </w:pPr>
      <w:r>
        <w:rPr>
          <w:rFonts w:ascii="Times New Roman" w:hAnsi="Times New Roman" w:eastAsia="Microsoft YaHei"/>
        </w:rPr>
        <w:t>4.3.1 分组依据与验证逻辑</w:t>
      </w:r>
    </w:p>
    <w:p>
      <w:pPr/>
      <w:r>
        <w:rPr>
          <w:rFonts w:ascii="Times New Roman" w:hAnsi="Times New Roman" w:eastAsia="Microsoft YaHei"/>
        </w:rPr>
        <w:t>本节采用按组评估而非随机切分，核心依据在于样本并不是彼此独立同分布的普通观测，而是嵌套在 `cultivar`、`season`、`repetition` 所代表的试验组织结构之中。对田间试验数据而言，同一组内样本往往共享相近的品种背景、季次条件和重复设置，如果直接进行随机划分，训练集与验证集之间就可能同时包含高度相似的组合信息，使模型在验证阶段获得偏乐观的分数，却不能真正说明其面对新组合时的预测能力。</w:t>
      </w:r>
    </w:p>
    <w:p>
      <w:pPr/>
      <w:r>
        <w:rPr>
          <w:rFonts w:ascii="Times New Roman" w:hAnsi="Times New Roman" w:eastAsia="Microsoft YaHei"/>
        </w:rPr>
        <w:t>基于这一特点，本研究将 `cultivar`、`season`、`repetition` 三类信息组合为复合分组，并据此实施 `group_aware_cv_with_composite_groups_and_80_20_holdout` 验证策略。其逻辑不只是“按字段分层”，而是把三者共同定义的试验单元作为约束边界：当某一复合组进入验证部分时，训练阶段不再接触该组对应的组合模式。这样得到的结果，更接近模型在实际应用中遇到未见 `cultivar`—`season`—`repetition` 组合时的表现，也更能检验模型对复杂试验异质性的泛化能力。</w:t>
      </w:r>
    </w:p>
    <w:p>
      <w:pPr/>
      <w:r>
        <w:rPr>
          <w:rFonts w:ascii="Times New Roman" w:hAnsi="Times New Roman" w:eastAsia="Microsoft YaHei"/>
        </w:rPr>
        <w:t>在具体执行上，评估采用 5 折分组交叉验证，并结合 80%/20% 留出集检验。前者用于观察模型在不同分组切分下的平均表现，后者则提供独立于交叉验证的额外检验层。两者同时存在，使评估不依赖单一次切分结果，而是在分组约束下同时考察稳定性与外部可迁移性。对于当前以 `GY` 为目标变量、包含 320 个样本和 53 个特征的建模任务，这种设计比普通随机 K 折更严格，因此分数通常更保守，但对模型优劣的判断也更可信。</w:t>
      </w:r>
    </w:p>
    <w:p>
      <w:pPr/>
      <w:r>
        <w:rPr>
          <w:rFonts w:ascii="Times New Roman" w:hAnsi="Times New Roman" w:eastAsia="Microsoft YaHei"/>
        </w:rPr>
        <w:t>这种验证逻辑对候选模型比较具有直接影响。从结果看，`XGBoostRegressor` 在该分组框架下仍取得最优表现，交叉验证 `cv_mae` 为 0.4790（最优）、`cv_r2` 为 0.4390（最优）、`cv_rmse` 为 0.6334（最优），留出集 `holdout_mae` 为 0.5204（最优）、`holdout_r2` 为 0.4625（最优）、`holdout_rmse` 为 0.6414（最优）；而 `LightGBMRegressor` 与 `ElasticNet` 的 `R²` 在交叉验证中分别为 -0.0845 和 -0.0152。由此可见，在未见复合分组的约束下，模型之间的差异被更真实地暴露出来，按组评估并非附加步骤，而是支撑结论可信性的前提。</w:t>
      </w:r>
    </w:p>
    <w:p>
      <w:pPr>
        <w:pStyle w:val="Heading3"/>
        <w:keepNext/>
      </w:pPr>
      <w:r>
        <w:rPr>
          <w:rFonts w:ascii="Times New Roman" w:hAnsi="Times New Roman" w:eastAsia="Microsoft YaHei"/>
        </w:rPr>
        <w:t>4.3.2 各折训练与验证流程</w:t>
      </w:r>
    </w:p>
    <w:p>
      <w:pPr/>
      <w:r>
        <w:rPr>
          <w:rFonts w:ascii="Times New Roman" w:hAnsi="Times New Roman" w:eastAsia="Microsoft YaHei"/>
        </w:rPr>
        <w:t>在每一轮分组交叉验证中，首先基于 `cultivar`、`season`、`repetition` 组合形成的复合分组完成当折切分：其中一部分复合组被划入验证折，其余复合组用于训练。这样得到的并不是普通随机意义上的训练集与验证集，而是“组间隔离”的两部分数据，验证侧对应的是训练阶段未出现过的组合模式。对当前 `GY` 回归任务而言，这一步是整套流程的起点，也是后续各模型能够在一致约束下比较的前提。</w:t>
      </w:r>
    </w:p>
    <w:p>
      <w:pPr/>
      <w:r>
        <w:rPr>
          <w:rFonts w:ascii="Times New Roman" w:hAnsi="Times New Roman" w:eastAsia="Microsoft YaHei"/>
        </w:rPr>
        <w:t>切分完成后，各折均在相同的数据口径下进入建模。输入数据来自同一批已整理好的特征矩阵，共包含 320 个样本、53 个特征，目标变量为 `GY`。在进入各折训练前，数据已完成目标列重排、布尔型变量转整数、`object` 或 `category` 类型缺失填补为 `"Missing"`、数值型特征缺失以中位数填补等处理；类别信息也已通过 `Cultivar_...`、`Season_...`、`Repetition_...` 等展开后的指示变量进入模型输入。因此，各折之间的差异主要来自分组切分本身，而不是来自预处理口径变化。</w:t>
      </w:r>
    </w:p>
    <w:p>
      <w:pPr/>
      <w:r>
        <w:rPr>
          <w:rFonts w:ascii="Times New Roman" w:hAnsi="Times New Roman" w:eastAsia="Microsoft YaHei"/>
        </w:rPr>
        <w:t>在具体训练阶段，每一折都会分别对 `LightGBMRegressor`、`XGBoostRegressor` 和 `ElasticNet` 进行拟合与验证。三种模型共享同一折的训练集与验证集，但保持各自既定的输入适配方式：`LightGBMRegressor` 与 `XGBoostRegressor` 不进行额外标准化，`ElasticNet` 使用数值特征标准化（`standardize_numeric_features`）。这种安排保证了比较的公平性，即所有模型都在相同分组边界下接受训练，同时又不过度违背各自方法的常规使用条件。</w:t>
      </w:r>
    </w:p>
    <w:p>
      <w:pPr/>
      <w:r>
        <w:rPr>
          <w:rFonts w:ascii="Times New Roman" w:hAnsi="Times New Roman" w:eastAsia="Microsoft YaHei"/>
        </w:rPr>
        <w:t>每一折训练完成后，均在该折验证集上输出回归评估结果，并围绕 RMSE、MAE 与 R² 记录模型在当前切分下的表现。随后，将 5 折结果进行汇总，形成交叉验证层面的平均指标，即表中的 `cv_rmse`、`cv_mae` 与 `cv_r2`。这些汇总值反映的是模型在多次未见复合组切分下的平均误差控制能力与拟合能力，因此比单一一次验证更能代表稳定表现。</w:t>
      </w:r>
    </w:p>
    <w:p>
      <w:pPr/>
      <w:r>
        <w:rPr>
          <w:rFonts w:ascii="Times New Roman" w:hAnsi="Times New Roman" w:eastAsia="Microsoft YaHei"/>
        </w:rPr>
        <w:t>除 5 折交叉验证外，流程中还保留了 80%/20% 的留出集检验。其作用不是替代各折结果，而是在交叉验证之外提供一层独立检验：模型先在训练部分按照既定流程完成学习，再在留出部分计算 `holdout_rmse`、`holdout_mae` 与 `holdout_r2`。因此，整套评估顺序可以概括为：统一预处理后构建特征与目标，按复合分组完成切分，在每一折内分别训练候选模型并计算验证指标，汇总得到交叉验证结果，再结合留出集指标进行最终比较。这样的流程既保留了多折评估的稳定性，也保留了独立样本检验的外部参考。</w:t>
      </w:r>
    </w:p>
    <w:p>
      <w:pPr>
        <w:pStyle w:val="Heading3"/>
        <w:keepNext/>
      </w:pPr>
      <w:r>
        <w:rPr>
          <w:rFonts w:ascii="Times New Roman" w:hAnsi="Times New Roman" w:eastAsia="Microsoft YaHei"/>
        </w:rPr>
        <w:t>4.3.3 信息泄漏控制与稳健性保证</w:t>
      </w:r>
    </w:p>
    <w:p>
      <w:pPr/>
      <w:r>
        <w:rPr>
          <w:rFonts w:ascii="Times New Roman" w:hAnsi="Times New Roman" w:eastAsia="Microsoft YaHei"/>
        </w:rPr>
        <w:t>为避免信息泄漏，本节的关键控制点不只是“训练集与验证集分开”，而是确保分组边界、特征输入和预处理口径同时保持隔离与一致。具体而言，验证划分基于 `cultivar`、`season`、`repetition` 形成的复合分组实施，进入验证部分的组合不会在对应训练部分再次出现，因此模型无法借助同组样本的相似性获得不真实的高分。这一约束直接降低了田间试验数据中常见的组内近似样本穿透风险，使评估结果更接近面对未见组合时的真实泛化水平。</w:t>
      </w:r>
    </w:p>
    <w:p>
      <w:pPr/>
      <w:r>
        <w:rPr>
          <w:rFonts w:ascii="Times New Roman" w:hAnsi="Times New Roman" w:eastAsia="Microsoft YaHei"/>
        </w:rPr>
        <w:t>在输入构造上，稳健性的另一层来源是全流程使用统一的特征整理规则。当前任务以 `GY` 为目标变量，基于 320 个样本、53 个特征建模；在切分之前，已完成目标列重排、布尔型变量转整数、`object` 或 `category` 类型缺失填补为 `"Missing"`、数值型特征以中位数填补等处理。需要特别强调的是，数据中虽然存在 `Cultivar_...`、`Season_...`、`Repetition_...` 等展开后的指示变量，但这些信息并未替代分组约束本身；模型输入与验证分组分别承担“表示样本属性”和“阻断组间穿透”两种不同职责。前者保证各模型看到一致的输入空间，后者保证评估时不会因为相同复合组同时出现在训练与验证中而产生偏乐观结果。</w:t>
      </w:r>
    </w:p>
    <w:p>
      <w:pPr/>
      <w:r>
        <w:rPr>
          <w:rFonts w:ascii="Times New Roman" w:hAnsi="Times New Roman" w:eastAsia="Microsoft YaHei"/>
        </w:rPr>
        <w:t>稳健性还体现在评估并不依赖单一切分。研究同时使用 5 折分组交叉验证和 80%/20% 留出集检验：前者用于观察模型在多轮复合分组切分下的平均表现，后者提供额外的独立验证层。两类结果若方向一致，说明结论并非偶然来自某一次分组方式。从现有结果看，`XGBoostRegressor` 在交叉验证与留出集上分别取得 `cv_mae` 0.4790（最优）、`cv_r2` 0.4390（最优）、`cv_rmse` 0.6334（最优）以及 `holdout_mae` 0.5204（最优）、`holdout_r2` 0.4625（最优）、`holdout_rmse` 0.6414（最优），两类评估结果相互印证，说明其优势并非建立在信息泄漏或单次切分偶然性之上。</w:t>
      </w:r>
    </w:p>
    <w:p>
      <w:pPr/>
      <w:r>
        <w:rPr>
          <w:rFonts w:ascii="Times New Roman" w:hAnsi="Times New Roman" w:eastAsia="Microsoft YaHei"/>
        </w:rPr>
        <w:t>对照模型的结果也从侧面支持了这一点。`LightGBMRegressor` 的 `cv_r2` 为 -0.0845、`holdout_r2` 为 0.0019，`ElasticNet` 的 `cv_r2` 为 -0.0152、`holdout_r2` 为 -0.0006，均未表现出因验证设计过于宽松而普遍抬高分数的现象。换言之，当前评估框架没有让所有模型都获得看似优异的结果，而是保留了严格分组验证应有的区分能力：只有真正能够适应 `cultivar`、`season`、`repetition` 复合异质性的模型，才会在交叉验证和留出集上同时保持较好表现。基于这一点，本节的分组设计和流程控制能够为后续模型优劣判断提供较可信的依据。</w:t>
      </w:r>
    </w:p>
    <w:p>
      <w:pPr>
        <w:pStyle w:val="Heading2"/>
        <w:keepNext/>
      </w:pPr>
      <w:r>
        <w:rPr>
          <w:rFonts w:ascii="Times New Roman" w:hAnsi="Times New Roman" w:eastAsia="Microsoft YaHei"/>
        </w:rPr>
        <w:t>4.4 模型表现比较</w:t>
      </w:r>
    </w:p>
    <w:p>
      <w:pPr/>
      <w:r>
        <w:rPr>
          <w:rFonts w:ascii="Times New Roman" w:hAnsi="Times New Roman" w:eastAsia="Microsoft YaHei"/>
        </w:rPr>
        <w:t>在统一的分组感知评估框架下，三种候选模型在 `GY` 预测任务上的差异已经较为清晰。若同时考察交叉验证与留出集两类结果，`XGBoostRegressor` 在误差控制和拟合能力上均处于领先位置，而 `LightGBMRegressor` 与 `ElasticNet` 的整体表现则明显偏弱。这意味着，在当前 320 个样本、53 个特征的数据条件下，不同方法对目标变量结构的刻画能力存在显著差别，模型优劣并非只体现在单一指标上，而是体现在多项指标的一致性上。</w:t>
      </w:r>
    </w:p>
    <w:p>
      <w:pPr>
        <w:pStyle w:val="ChatGPTTableTitle"/>
        <w:jc w:val="center"/>
      </w:pPr>
      <w:r>
        <w:rPr>
          <w:rFonts w:ascii="Times New Roman" w:hAnsi="Times New Roman" w:eastAsia="Microsoft YaHei"/>
        </w:rPr>
        <w:t>表1 不同模型在GY预测任务上的性能比较</w:t>
      </w:r>
    </w:p>
    <w:tbl>
      <w:tblPr>
        <w:tblW w:type="auto" w:w="0"/>
        <w:jc w:val="center"/>
        <w:tblLayout w:type="autofit"/>
        <w:tblLook w:firstColumn="1" w:firstRow="1" w:lastColumn="0" w:lastRow="0" w:noHBand="0" w:noVBand="1" w:val="04A0"/>
        <w:tblBorders>
          <w:top w:val="nil"/>
          <w:bottom w:val="nil"/>
          <w:left w:val="nil"/>
          <w:right w:val="nil"/>
          <w:insideH w:val="nil"/>
          <w:insideV w:val="nil"/>
        </w:tblBorders>
      </w:tblPr>
      <w:tblGrid>
        <w:gridCol w:w="1188"/>
        <w:gridCol w:w="1188"/>
        <w:gridCol w:w="1188"/>
        <w:gridCol w:w="1188"/>
        <w:gridCol w:w="1188"/>
        <w:gridCol w:w="1188"/>
        <w:gridCol w:w="1188"/>
        <w:gridCol w:w="1188"/>
      </w:tblGrid>
      <w:tr>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方法/模型</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type</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cv_mae</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cv_r2</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cv_rmse</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holdout_mae</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holdout_r2</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holdout_rmse</w:t>
            </w:r>
          </w:p>
        </w:tc>
      </w:tr>
      <w:tr>
        <w:tc>
          <w:tcPr>
            <w:tcW w:type="dxa" w:w="1188"/>
            <w:tcBorders>
              <w:top w:val="nil"/>
              <w:bottom w:val="nil"/>
              <w:left w:val="nil"/>
              <w:right w:val="nil"/>
            </w:tcBorders>
          </w:tcPr>
          <w:p>
            <w:pPr>
              <w:spacing w:after="0"/>
              <w:jc w:val="center"/>
            </w:pPr>
            <w:r>
              <w:rPr>
                <w:rFonts w:ascii="Times New Roman" w:hAnsi="Times New Roman" w:eastAsia="Microsoft YaHei"/>
              </w:rPr>
              <w:t>LightGBMRegressor</w:t>
            </w:r>
          </w:p>
        </w:tc>
        <w:tc>
          <w:tcPr>
            <w:tcW w:type="dxa" w:w="1188"/>
            <w:tcBorders>
              <w:top w:val="nil"/>
              <w:bottom w:val="nil"/>
              <w:left w:val="nil"/>
              <w:right w:val="nil"/>
            </w:tcBorders>
          </w:tcPr>
          <w:p>
            <w:pPr>
              <w:spacing w:after="0"/>
              <w:jc w:val="center"/>
            </w:pPr>
            <w:r>
              <w:rPr>
                <w:rFonts w:ascii="Times New Roman" w:hAnsi="Times New Roman" w:eastAsia="Microsoft YaHei"/>
              </w:rPr>
              <w:t>regression</w:t>
            </w:r>
          </w:p>
        </w:tc>
        <w:tc>
          <w:tcPr>
            <w:tcW w:type="dxa" w:w="1188"/>
            <w:tcBorders>
              <w:top w:val="nil"/>
              <w:bottom w:val="nil"/>
              <w:left w:val="nil"/>
              <w:right w:val="nil"/>
            </w:tcBorders>
          </w:tcPr>
          <w:p>
            <w:pPr>
              <w:spacing w:after="0"/>
              <w:jc w:val="center"/>
            </w:pPr>
            <w:r>
              <w:rPr>
                <w:rFonts w:ascii="Times New Roman" w:hAnsi="Times New Roman" w:eastAsia="Microsoft YaHei"/>
              </w:rPr>
              <w:t>0.6610</w:t>
            </w:r>
          </w:p>
        </w:tc>
        <w:tc>
          <w:tcPr>
            <w:tcW w:type="dxa" w:w="1188"/>
            <w:tcBorders>
              <w:top w:val="nil"/>
              <w:bottom w:val="nil"/>
              <w:left w:val="nil"/>
              <w:right w:val="nil"/>
            </w:tcBorders>
          </w:tcPr>
          <w:p>
            <w:pPr>
              <w:spacing w:after="0"/>
              <w:jc w:val="center"/>
            </w:pPr>
            <w:r>
              <w:rPr>
                <w:rFonts w:ascii="Times New Roman" w:hAnsi="Times New Roman" w:eastAsia="Microsoft YaHei"/>
              </w:rPr>
              <w:t>-0.0845</w:t>
            </w:r>
          </w:p>
        </w:tc>
        <w:tc>
          <w:tcPr>
            <w:tcW w:type="dxa" w:w="1188"/>
            <w:tcBorders>
              <w:top w:val="nil"/>
              <w:bottom w:val="nil"/>
              <w:left w:val="nil"/>
              <w:right w:val="nil"/>
            </w:tcBorders>
          </w:tcPr>
          <w:p>
            <w:pPr>
              <w:spacing w:after="0"/>
              <w:jc w:val="center"/>
            </w:pPr>
            <w:r>
              <w:rPr>
                <w:rFonts w:ascii="Times New Roman" w:hAnsi="Times New Roman" w:eastAsia="Microsoft YaHei"/>
              </w:rPr>
              <w:t>0.8822</w:t>
            </w:r>
          </w:p>
        </w:tc>
        <w:tc>
          <w:tcPr>
            <w:tcW w:type="dxa" w:w="1188"/>
            <w:tcBorders>
              <w:top w:val="nil"/>
              <w:bottom w:val="nil"/>
              <w:left w:val="nil"/>
              <w:right w:val="nil"/>
            </w:tcBorders>
          </w:tcPr>
          <w:p>
            <w:pPr>
              <w:spacing w:after="0"/>
              <w:jc w:val="center"/>
            </w:pPr>
            <w:r>
              <w:rPr>
                <w:rFonts w:ascii="Times New Roman" w:hAnsi="Times New Roman" w:eastAsia="Microsoft YaHei"/>
              </w:rPr>
              <w:t>0.6584</w:t>
            </w:r>
          </w:p>
        </w:tc>
        <w:tc>
          <w:tcPr>
            <w:tcW w:type="dxa" w:w="1188"/>
            <w:tcBorders>
              <w:top w:val="nil"/>
              <w:bottom w:val="nil"/>
              <w:left w:val="nil"/>
              <w:right w:val="nil"/>
            </w:tcBorders>
          </w:tcPr>
          <w:p>
            <w:pPr>
              <w:spacing w:after="0"/>
              <w:jc w:val="center"/>
            </w:pPr>
            <w:r>
              <w:rPr>
                <w:rFonts w:ascii="Times New Roman" w:hAnsi="Times New Roman" w:eastAsia="Microsoft YaHei"/>
              </w:rPr>
              <w:t>0.0019</w:t>
            </w:r>
          </w:p>
        </w:tc>
        <w:tc>
          <w:tcPr>
            <w:tcW w:type="dxa" w:w="1188"/>
            <w:tcBorders>
              <w:top w:val="nil"/>
              <w:bottom w:val="nil"/>
              <w:left w:val="nil"/>
              <w:right w:val="nil"/>
            </w:tcBorders>
          </w:tcPr>
          <w:p>
            <w:pPr>
              <w:spacing w:after="0"/>
              <w:jc w:val="center"/>
            </w:pPr>
            <w:r>
              <w:rPr>
                <w:rFonts w:ascii="Times New Roman" w:hAnsi="Times New Roman" w:eastAsia="Microsoft YaHei"/>
              </w:rPr>
              <w:t>0.8740</w:t>
            </w:r>
          </w:p>
        </w:tc>
      </w:tr>
      <w:tr>
        <w:tc>
          <w:tcPr>
            <w:tcW w:type="dxa" w:w="1188"/>
            <w:tcBorders>
              <w:top w:val="nil"/>
              <w:bottom w:val="nil"/>
              <w:left w:val="nil"/>
              <w:right w:val="nil"/>
            </w:tcBorders>
          </w:tcPr>
          <w:p>
            <w:pPr>
              <w:spacing w:after="0"/>
              <w:jc w:val="center"/>
            </w:pPr>
            <w:r>
              <w:rPr>
                <w:rFonts w:ascii="Times New Roman" w:hAnsi="Times New Roman" w:eastAsia="Microsoft YaHei"/>
              </w:rPr>
              <w:t>XGBoostRegressor</w:t>
            </w:r>
          </w:p>
        </w:tc>
        <w:tc>
          <w:tcPr>
            <w:tcW w:type="dxa" w:w="1188"/>
            <w:tcBorders>
              <w:top w:val="nil"/>
              <w:bottom w:val="nil"/>
              <w:left w:val="nil"/>
              <w:right w:val="nil"/>
            </w:tcBorders>
          </w:tcPr>
          <w:p>
            <w:pPr>
              <w:spacing w:after="0"/>
              <w:jc w:val="center"/>
            </w:pPr>
            <w:r>
              <w:rPr>
                <w:rFonts w:ascii="Times New Roman" w:hAnsi="Times New Roman" w:eastAsia="Microsoft YaHei"/>
              </w:rPr>
              <w:t>regression</w:t>
            </w:r>
          </w:p>
        </w:tc>
        <w:tc>
          <w:tcPr>
            <w:tcW w:type="dxa" w:w="1188"/>
            <w:tcBorders>
              <w:top w:val="nil"/>
              <w:bottom w:val="nil"/>
              <w:left w:val="nil"/>
              <w:right w:val="nil"/>
            </w:tcBorders>
          </w:tcPr>
          <w:p>
            <w:pPr>
              <w:spacing w:after="0"/>
              <w:jc w:val="center"/>
            </w:pPr>
            <w:r>
              <w:rPr>
                <w:rFonts w:ascii="Times New Roman" w:hAnsi="Times New Roman" w:eastAsia="Microsoft YaHei"/>
              </w:rPr>
              <w:t>0.4790（最优）</w:t>
            </w:r>
          </w:p>
        </w:tc>
        <w:tc>
          <w:tcPr>
            <w:tcW w:type="dxa" w:w="1188"/>
            <w:tcBorders>
              <w:top w:val="nil"/>
              <w:bottom w:val="nil"/>
              <w:left w:val="nil"/>
              <w:right w:val="nil"/>
            </w:tcBorders>
          </w:tcPr>
          <w:p>
            <w:pPr>
              <w:spacing w:after="0"/>
              <w:jc w:val="center"/>
            </w:pPr>
            <w:r>
              <w:rPr>
                <w:rFonts w:ascii="Times New Roman" w:hAnsi="Times New Roman" w:eastAsia="Microsoft YaHei"/>
              </w:rPr>
              <w:t>0.4390（最优）</w:t>
            </w:r>
          </w:p>
        </w:tc>
        <w:tc>
          <w:tcPr>
            <w:tcW w:type="dxa" w:w="1188"/>
            <w:tcBorders>
              <w:top w:val="nil"/>
              <w:bottom w:val="nil"/>
              <w:left w:val="nil"/>
              <w:right w:val="nil"/>
            </w:tcBorders>
          </w:tcPr>
          <w:p>
            <w:pPr>
              <w:spacing w:after="0"/>
              <w:jc w:val="center"/>
            </w:pPr>
            <w:r>
              <w:rPr>
                <w:rFonts w:ascii="Times New Roman" w:hAnsi="Times New Roman" w:eastAsia="Microsoft YaHei"/>
              </w:rPr>
              <w:t>0.6334（最优）</w:t>
            </w:r>
          </w:p>
        </w:tc>
        <w:tc>
          <w:tcPr>
            <w:tcW w:type="dxa" w:w="1188"/>
            <w:tcBorders>
              <w:top w:val="nil"/>
              <w:bottom w:val="nil"/>
              <w:left w:val="nil"/>
              <w:right w:val="nil"/>
            </w:tcBorders>
          </w:tcPr>
          <w:p>
            <w:pPr>
              <w:spacing w:after="0"/>
              <w:jc w:val="center"/>
            </w:pPr>
            <w:r>
              <w:rPr>
                <w:rFonts w:ascii="Times New Roman" w:hAnsi="Times New Roman" w:eastAsia="Microsoft YaHei"/>
              </w:rPr>
              <w:t>0.5204（最优）</w:t>
            </w:r>
          </w:p>
        </w:tc>
        <w:tc>
          <w:tcPr>
            <w:tcW w:type="dxa" w:w="1188"/>
            <w:tcBorders>
              <w:top w:val="nil"/>
              <w:bottom w:val="nil"/>
              <w:left w:val="nil"/>
              <w:right w:val="nil"/>
            </w:tcBorders>
          </w:tcPr>
          <w:p>
            <w:pPr>
              <w:spacing w:after="0"/>
              <w:jc w:val="center"/>
            </w:pPr>
            <w:r>
              <w:rPr>
                <w:rFonts w:ascii="Times New Roman" w:hAnsi="Times New Roman" w:eastAsia="Microsoft YaHei"/>
              </w:rPr>
              <w:t>0.4625（最优）</w:t>
            </w:r>
          </w:p>
        </w:tc>
        <w:tc>
          <w:tcPr>
            <w:tcW w:type="dxa" w:w="1188"/>
            <w:tcBorders>
              <w:top w:val="nil"/>
              <w:bottom w:val="nil"/>
              <w:left w:val="nil"/>
              <w:right w:val="nil"/>
            </w:tcBorders>
          </w:tcPr>
          <w:p>
            <w:pPr>
              <w:spacing w:after="0"/>
              <w:jc w:val="center"/>
            </w:pPr>
            <w:r>
              <w:rPr>
                <w:rFonts w:ascii="Times New Roman" w:hAnsi="Times New Roman" w:eastAsia="Microsoft YaHei"/>
              </w:rPr>
              <w:t>0.6414（最优）</w:t>
            </w:r>
          </w:p>
        </w:tc>
      </w:tr>
      <w:tr>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ElasticNet</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regression</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0.6563</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-0.0152</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0.8632</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0.6298</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-0.0006</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0.8751</w:t>
            </w:r>
          </w:p>
        </w:tc>
      </w:tr>
    </w:tbl>
    <w:p/>
    <w:p>
      <w:pPr/>
      <w:r>
        <w:rPr>
          <w:rFonts w:ascii="Times New Roman" w:hAnsi="Times New Roman" w:eastAsia="Microsoft YaHei"/>
        </w:rPr>
        <w:t>从交叉验证结果看，`XGBoostRegressor` 的 `cv_mae` 为 0.4790（最优），`cv_r2` 为 0.4390（最优），`cv_rmse` 为 0.6334（最优），三项核心指标均优于其余候选模型。相比之下，`LightGBMRegressor` 的 `cv_mae` 为 0.6610，`cv_r2` 为 -0.0845，`cv_rmse` 为 0.8822；`ElasticNet` 的 `cv_mae` 为 0.6563，`cv_r2` 为 -0.0152，`cv_rmse` 为 0.8632。就相对排序而言，`XGBoostRegressor` 明显优于另外两种模型，而 `ElasticNet` 与 `LightGBMRegressor` 虽各有细微差异，但都未展现出稳定的解释能力，尤其两者的 `cv_r2` 均未达到正向、有效的拟合水平。</w:t>
      </w:r>
    </w:p>
    <w:p>
      <w:pPr/>
      <w:r>
        <w:rPr>
          <w:rFonts w:ascii="Times New Roman" w:hAnsi="Times New Roman" w:eastAsia="Microsoft YaHei"/>
        </w:rPr>
        <w:t>留出集结果进一步强化了这一比较结论。`XGBoostRegressor` 的 `holdout_mae` 为 0.5204（最优），`holdout_r2` 为 0.4625（最优），`holdout_rmse` 为 0.6414（最优），依然保持全指标领先。`LightGBMRegressor` 在留出集上的 `holdout_mae` 为 0.6584，`holdout_r2` 为 0.0019，`holdout_rmse` 为 0.8740；`ElasticNet` 分别为 0.6298、-0.0006 和 0.8751。这里可以看到，后两者在留出集上的 `R²` 仍然接近 0 或低于 0，说明模型对未参与训练样本的解释力依旧有限；而 `XGBoostRegressor` 不仅误差更低，而且 `R²` 保持在较高水平，显示出更强的泛化能力。</w:t>
      </w:r>
    </w:p>
    <w:p>
      <w:pPr/>
      <w:r>
        <w:rPr>
          <w:rFonts w:ascii="Times New Roman" w:hAnsi="Times New Roman" w:eastAsia="Microsoft YaHei"/>
        </w:rPr>
        <w:t>若从稳定性角度比较，`XGBoostRegressor` 在交叉验证与留出集之间的指标变化幅度较小，表现出较好的结果一致性。其 `cv_r2` 为 0.4390（最优），`holdout_r2` 为 0.4625（最优）；`cv_rmse` 为 0.6334（最优），`holdout_rmse` 为 0.6414（最优）；`cv_mae` 为 0.4790（最优），`holdout_mae` 为 0.5204（最优）。这组结果表明，模型在不同验证层次下没有出现明显失稳，也未表现出强烈的过拟合迹象。相较之下，`LightGBMRegressor` 和 `ElasticNet` 虽然在交叉验证与留出集之间的数值变化同样不大，但这种“稳定”更多体现为持续偏弱，而不是稳定地取得良好预测效果。</w:t>
      </w:r>
    </w:p>
    <w:p>
      <w:pPr/>
      <w:r>
        <w:rPr>
          <w:rFonts w:ascii="Times New Roman" w:hAnsi="Times New Roman" w:eastAsia="Microsoft YaHei"/>
        </w:rPr>
        <w:t>综合误差、拟合度与跨验证方式的一致性判断，当前最优模型应确定为 `XGBoostRegressor`。这一结论也与综合选择依据 `composite_of_cv_rmse_cv_mae_cv_r2` 保持一致，其综合得分为 -0.6735。就本节比较结果而言，`XGBoostRegressor` 是唯一一个在交叉验证和留出集六项指标上均取得最优的候选方案，说明其优势并非来自某一次切分或某一项局部指标，而是建立在整体精度与稳定性同时占优的基础上。与此同时，`LightGBMRegressor` 与 `ElasticNet` 的结果也提示，当前 `GY` 预测任务更适合采用能够处理非线性关系的模型，而简单线性约束或当前树模型配置并不足以达到同等水平。</w:t>
      </w:r>
    </w:p>
    <w:p>
      <w:pPr>
        <w:pStyle w:val="Heading3"/>
        <w:keepNext/>
      </w:pPr>
      <w:r>
        <w:rPr>
          <w:rFonts w:ascii="Times New Roman" w:hAnsi="Times New Roman" w:eastAsia="Microsoft YaHei"/>
        </w:rPr>
        <w:t>4.4.1 各模型核心指标对比</w:t>
      </w:r>
    </w:p>
    <w:p>
      <w:pPr/>
      <w:r>
        <w:rPr>
          <w:rFonts w:ascii="Times New Roman" w:hAnsi="Times New Roman" w:eastAsia="Microsoft YaHei"/>
        </w:rPr>
        <w:t>在统一的分组感知评估框架下，三种候选模型在 `GY` 回归任务上的核心指标差异较为明确。若同时从误差指标与拟合度指标观察，`XGBoostRegressor` 在交叉验证和留出集两个层面都表现出最优结果，说明其不仅预测偏差更小，而且对目标变量变化的解释能力也更强；相比之下，`LightGBMRegressor` 与 `ElasticNet` 的整体表现均明显落后。</w:t>
      </w:r>
    </w:p>
    <w:p>
      <w:pPr/>
      <w:r>
        <w:rPr>
          <w:rFonts w:ascii="Times New Roman" w:hAnsi="Times New Roman" w:eastAsia="Microsoft YaHei"/>
        </w:rPr>
        <w:t>从交叉验证结果看，`XGBoostRegressor` 的 `cv_mae` 为 0.4790（最优），`cv_r2` 为 0.4390（最优），`cv_rmse` 为 0.6334（最优），三项指标均优于其余模型。`LightGBMRegressor` 的 `cv_mae` 为 0.6610，`cv_r2` 为 -0.0845，`cv_rmse` 为 0.8822；`ElasticNet` 的 `cv_mae` 为 0.6563，`cv_r2` 为 -0.0152，`cv_rmse` 为 0.8632。就误差控制而言，`XGBoostRegressor` 的 MAE 与 RMSE 均显著低于另外两种方法；就拟合度而言，其 `R²` 为正且达到 0.4390，而其余两种模型的 `cv_r2` 均为负值，说明在分组交叉验证条件下，后两者尚未形成稳定、有效的解释能力。</w:t>
      </w:r>
    </w:p>
    <w:p>
      <w:pPr/>
      <w:r>
        <w:rPr>
          <w:rFonts w:ascii="Times New Roman" w:hAnsi="Times New Roman" w:eastAsia="Microsoft YaHei"/>
        </w:rPr>
        <w:t>留出集结果与交叉验证的排序基本一致，进一步增强了比较结论的可信度。`XGBoostRegressor` 的 `holdout_mae` 为 0.5204（最优），`holdout_r2` 为 0.4625（最优），`holdout_rmse` 为 0.6414（最优），依然在全部核心指标上领先。`LightGBMRegressor` 的 `holdout_mae` 为 0.6584，`holdout_r2` 为 0.0019，`holdout_rmse` 为 0.8740；`ElasticNet` 的 `holdout_mae` 为 0.6298，`holdout_r2` 为 -0.0006，`holdout_rmse` 为 0.8751。可以看到，`LightGBMRegressor` 与 `ElasticNet` 在留出集上的 `R²` 仍接近于 0 或低于 0，说明它们对未见样本的拟合提升有限，而 `XGBoostRegressor` 则保持了更好的精度与解释力。</w:t>
      </w:r>
    </w:p>
    <w:p>
      <w:pPr/>
      <w:r>
        <w:rPr>
          <w:rFonts w:ascii="Times New Roman" w:hAnsi="Times New Roman" w:eastAsia="Microsoft YaHei"/>
        </w:rPr>
        <w:t>如果进一步比较两类次优模型，可以发现 `ElasticNet` 在交叉验证中的 `cv_mae` 和 `cv_rmse` 略优于 `LightGBMRegressor`，但其 `holdout_rmse` 为 0.8751，略高于 `LightGBMRegressor` 的 0.8740；同时二者在 `holdout_r2` 上都接近无解释力水平。这表明两者虽然各自在个别指标上有细微差异，但都没有形成可以与 `XGBoostRegressor` 相竞争的整体优势。就本节核心指标对比而言，模型排序已较为清楚：`XGBoostRegressor` 明显居首，`ElasticNet` 与 `LightGBMRegressor` 处于较弱水平，且未表现出稳定的高质量拟合能力。</w:t>
      </w:r>
    </w:p>
    <w:p>
      <w:pPr>
        <w:pStyle w:val="Heading3"/>
        <w:keepNext/>
      </w:pPr>
      <w:r>
        <w:rPr>
          <w:rFonts w:ascii="Times New Roman" w:hAnsi="Times New Roman" w:eastAsia="Microsoft YaHei"/>
        </w:rPr>
        <w:t>4.4.2 各折结果波动分析</w:t>
      </w:r>
    </w:p>
    <w:p>
      <w:pPr/>
      <w:r>
        <w:rPr>
          <w:rFonts w:ascii="Times New Roman" w:hAnsi="Times New Roman" w:eastAsia="Microsoft YaHei"/>
        </w:rPr>
        <w:t>在 5 折分组交叉验证框架下，各折结果的波动情况能够更直接反映模型面对不同 `cultivar`、`season`、`repetition` 组合时的稳定性。现有结果表明，`XGBoostRegressor` 不仅平均指标最优，而且折间表现也相对均衡。参考执行结果中的细化分析，其各折 `R²` 均为正，范围约为 0.2270 至 0.6155，说明即使在不同分组划分下，模型仍能保持有效的解释能力，未出现某些折次明显失效的情况。这一点与其整体 `cv_r2` 为 0.4390（最优）、`cv_rmse` 为 0.6334（最优）、`cv_mae` 为 0.4790（最优）的结果相互印证，表明该模型的优势并非由个别折次偶然拉高，而是具有较好的跨分组一致性。</w:t>
      </w:r>
    </w:p>
    <w:p>
      <w:pPr/>
      <w:r>
        <w:rPr>
          <w:rFonts w:ascii="Times New Roman" w:hAnsi="Times New Roman" w:eastAsia="Microsoft YaHei"/>
        </w:rPr>
        <w:t>进一步结合留出集结果看，`XGBoostRegressor` 的 `holdout_mae` 为 0.5204（最优）、`holdout_r2` 为 0.4625（最优）、`holdout_rmse` 为 0.6414（最优），与交叉验证结果保持接近。这意味着其在折内波动之外，还经受住了独立留出检验，未表现出训练阶段与验证阶段明显脱节的现象。对于采用复合分组的严格验证设计而言，这种“交叉验证稳定、留出集不恶化”的特征，是判断模型在不同分组条件下具备较强鲁棒性的关键依据。</w:t>
      </w:r>
    </w:p>
    <w:p>
      <w:pPr/>
      <w:r>
        <w:rPr>
          <w:rFonts w:ascii="Times New Roman" w:hAnsi="Times New Roman" w:eastAsia="Microsoft YaHei"/>
        </w:rPr>
        <w:t>相比之下，`LightGBMRegressor` 与 `ElasticNet` 的稳定性要弱得多。两者的交叉验证 `R²` 分别为 -0.0845 和 -0.0152，说明在部分折次中很可能难以形成持续有效的拟合；即便到了留出集，`holdout_r2` 也仅为 0.0019 和 -0.0006，整体仍接近无解释力状态。结合其 `cv_rmse`、`cv_mae` 以及对应留出集误差水平均明显高于 `XGBoostRegressor` 的事实，可以判断这两种模型不仅平均表现偏弱，而且更容易受到分组差异影响，难以在不同验证子集上保持一致输出。</w:t>
      </w:r>
    </w:p>
    <w:p>
      <w:pPr/>
      <w:r>
        <w:rPr>
          <w:rFonts w:ascii="Times New Roman" w:hAnsi="Times New Roman" w:eastAsia="Microsoft YaHei"/>
        </w:rPr>
        <w:t>因此，从各折结果波动的角度看，当前最值得强调的不是单次最优分数，而是模型在多轮分组验证中的持续表现。`XGBoostRegressor` 在折间未出现明显失稳信号，且交叉验证与留出集结果方向一致，说明其对当前数据中的非线性关系和组间异质性具有更好的适应能力；`LightGBMRegressor` 与 `ElasticNet` 则未体现出同等级别的稳定泛化特征。</w:t>
      </w:r>
    </w:p>
    <w:p>
      <w:pPr>
        <w:pStyle w:val="Heading3"/>
        <w:keepNext/>
      </w:pPr>
      <w:r>
        <w:rPr>
          <w:rFonts w:ascii="Times New Roman" w:hAnsi="Times New Roman" w:eastAsia="Microsoft YaHei"/>
        </w:rPr>
        <w:t>4.4.3 最优模型判定依据</w:t>
      </w:r>
    </w:p>
    <w:p>
      <w:pPr/>
      <w:r>
        <w:rPr>
          <w:rFonts w:ascii="Times New Roman" w:hAnsi="Times New Roman" w:eastAsia="Microsoft YaHei"/>
        </w:rPr>
        <w:t>最优模型的判定并非仅依据单一指标，而是同时考察交叉验证表现、留出集表现以及两类评估结果之间的一致性。在这一标准下，`XGBoostRegressor` 被确定为当前 `GY` 预测任务的最优方案，其直接依据为 `composite_of_cv_rmse_cv_mae_cv_r2`，综合得分为 -0.6735。该模型在交叉验证和留出集两个层面均实现了全指标领先，因此具备更充分的入选理由。</w:t>
      </w:r>
    </w:p>
    <w:p>
      <w:pPr/>
      <w:r>
        <w:rPr>
          <w:rFonts w:ascii="Times New Roman" w:hAnsi="Times New Roman" w:eastAsia="Microsoft YaHei"/>
        </w:rPr>
        <w:t>从精度角度看，`XGBoostRegressor` 在交叉验证中的 `cv_mae` 为 0.4790（最优），`cv_r2` 为 0.4390（最优），`cv_rmse` 为 0.6334（最优）；在留出集上的 `holdout_mae` 为 0.5204（最优），`holdout_r2` 为 0.4625（最优），`holdout_rmse` 为 0.6414（最优）。这意味着无论是平均绝对误差、均方根误差，还是对 `GY` 变异的解释能力，`XGBoostRegressor` 都优于 `LightGBMRegressor` 与 `ElasticNet`。相比之下，`LightGBMRegressor` 的交叉验证指标为 `cv_mae` 0.6610、`cv_r2` -0.0845、`cv_rmse` 0.8822，留出集指标为 `holdout_mae` 0.6584、`holdout_r2` 0.0019、`holdout_rmse` 0.8740；`ElasticNet` 的交叉验证指标为 `cv_mae` 0.6563、`cv_r2` -0.0152、`cv_rmse` 0.8632，留出集指标为 `holdout_mae` 0.6298、`holdout_r2` -0.0006、`holdout_rmse` 0.8751。两者无论在误差控制还是拟合度上，均未达到与 `XGBoostRegressor` 接近的水平。</w:t>
      </w:r>
    </w:p>
    <w:p>
      <w:pPr/>
      <w:r>
        <w:rPr>
          <w:rFonts w:ascii="Times New Roman" w:hAnsi="Times New Roman" w:eastAsia="Microsoft YaHei"/>
        </w:rPr>
        <w:t>从稳健性角度看，`XGBoostRegressor` 的交叉验证结果与留出集结果保持接近，未出现验证阶段性能明显下滑的情况。尤其是其 `holdout_r2 = 0.4625` 高于 `cv_r2 = 0.4390`，说明模型在独立留出检验中没有显著恶化；同时，`cv_rmse` 0.6334 与 `holdout_rmse` 0.6414、`cv_mae` 0.4790 与 `holdout_mae` 0.5204 的差距也相对有限。这种“交叉验证领先、留出集仍保持领先”的一致性，是判定模型具备较好泛化能力的关键证据。结合前述 5 折分组交叉验证结果中其各折 `R²` 均为正，且范围约为 0.2270 至 0.6155，可以进一步说明该模型面对不同 `cultivar`、`season`、`repetition` 组合时表现较为稳定。</w:t>
      </w:r>
    </w:p>
    <w:p>
      <w:pPr/>
      <w:r>
        <w:rPr>
          <w:rFonts w:ascii="Times New Roman" w:hAnsi="Times New Roman" w:eastAsia="Microsoft YaHei"/>
        </w:rPr>
        <w:t>另外两个候选模型未能满足“精度与稳健性同时成立”的筛选标准。`LightGBMRegressor` 虽然在留出集上的 `holdout_r2` 为 0.0019，但整体仍接近无解释力状态，且交叉验证 `cv_r2` 为 -0.0845；`ElasticNet` 的 `cv_r2` 为 -0.0152、`holdout_r2` 为 -0.0006，同样没有显示出稳定有效的拟合能力。在分组感知的严格评估框架下，这类结果说明两者对未见分组组合的泛化表现不足，难以作为最终推荐模型。</w:t>
      </w:r>
    </w:p>
    <w:p>
      <w:pPr/>
      <w:r>
        <w:rPr>
          <w:rFonts w:ascii="Times New Roman" w:hAnsi="Times New Roman" w:eastAsia="Microsoft YaHei"/>
        </w:rPr>
        <w:t>因此，当前最优模型的判定依据可以概括为三点：其一，`XGBoostRegressor` 在交叉验证与留出集全部核心指标上均为最优；其二，综合选择依据 `composite_of_cv_rmse_cv_mae_cv_r2` 明确指向该模型，综合得分为 -0.6735；其三，该模型在分组交叉验证与独立留出检验中的结果保持一致，体现出更好的鲁棒性与实际应用可靠性。基于现有证据，`XGBoostRegressor` 是本次 `GY` 回归任务中最值得采用的最终方案。</w:t>
      </w:r>
    </w:p>
    <w:p>
      <w:pPr>
        <w:pStyle w:val="Heading2"/>
        <w:keepNext/>
      </w:pPr>
      <w:r>
        <w:rPr>
          <w:rFonts w:ascii="Times New Roman" w:hAnsi="Times New Roman" w:eastAsia="Microsoft YaHei"/>
        </w:rPr>
        <w:t>4.5 XGBoostRegressor结果解读</w:t>
      </w:r>
    </w:p>
    <w:p>
      <w:pPr/>
      <w:r>
        <w:rPr>
          <w:rFonts w:ascii="Times New Roman" w:hAnsi="Times New Roman" w:eastAsia="Microsoft YaHei"/>
        </w:rPr>
        <w:t>`XGBoostRegressor` 之所以成为当前 `GY` 预测任务中的最优模型，关键不在于单一指标偶然占优，而在于其在误差控制、解释能力和跨分组稳定性上同时表现突出。按照 `composite_of_cv_rmse_cv_mae_cv_r2` 的综合判定标准，该模型得分为 -0.6735，并且在交叉验证与留出集两个层面都取得了全指标最优结果，说明其优势具有一致性而非局部性。</w:t>
      </w:r>
    </w:p>
    <w:p>
      <w:pPr/>
      <w:r>
        <w:rPr>
          <w:rFonts w:ascii="Times New Roman" w:hAnsi="Times New Roman" w:eastAsia="Microsoft YaHei"/>
        </w:rPr>
        <w:t>从结果上看，`XGBoostRegressor` 在交叉验证中的 `cv_mae` 为 0.4790（最优）、`cv_r2` 为 0.4390（最优）、`cv_rmse` 为 0.6334（最优）；在留出集上的 `holdout_mae` 为 0.5204（最优）、`holdout_r2` 为 0.4625（最优）、`holdout_rmse` 为 0.6414（最优）。这组结果说明，模型不仅能够将预测误差控制在三种候选方法中的最低水平，而且对 `GY` 变异的解释能力也明显更强。尤其是 `holdout_r2 = 0.4625` 高于 `cv_r2 = 0.4390`，表明模型在独立留出检验中并未出现性能塌陷，未呈现出明显的过拟合信号。</w:t>
      </w:r>
    </w:p>
    <w:p>
      <w:pPr/>
      <w:r>
        <w:rPr>
          <w:rFonts w:ascii="Times New Roman" w:hAnsi="Times New Roman" w:eastAsia="Microsoft YaHei"/>
        </w:rPr>
        <w:t>这一优势与当前任务的数据特征和验证方式是相匹配的。建模采用了基于 `cultivar`、`season`、`repetition` 复合分组的 5 折分组交叉验证，并辅以 80%/20% 留出集检验。这意味着模型需要面对未在训练阶段出现过的组合模式，而不是只在随机切分下重复识别相似样本。在这种更严格的评估条件下，`XGBoostRegressor` 仍保持领先，说明它对组间异质性具备更好的适应能力。执行结果还显示，其各折 `R²` 均为正，范围约为 0.2270 至 0.6155，进一步表明该模型的有效性并非依赖少数折次，而是在不同分组切分下都能维持可用的解释能力。</w:t>
      </w:r>
    </w:p>
    <w:p>
      <w:pPr/>
      <w:r>
        <w:rPr>
          <w:rFonts w:ascii="Times New Roman" w:hAnsi="Times New Roman" w:eastAsia="Microsoft YaHei"/>
        </w:rPr>
        <w:t>从模型类型角度理解，这种表现也具有合理性。当前特征中既包含数值信息，也包含以 `Cultivar_...`、`Season_...`、`Repetition_...` 形式进入模型的指示变量，说明 `GY` 的形成机制很可能同时受到非线性关系和多因素交互影响。相较于 `ElasticNet` 这类线性正则化模型，`XGBoostRegressor` 更适合刻画复杂的非线性结构，因此能够在拟合度上取得明显优势。`ElasticNet` 的 `cv_r2` 为 -0.0152，`holdout_r2` 为 -0.0006`，接近于无解释力状态，也从侧面说明单纯线性关系不足以支撑当前预测任务。</w:t>
      </w:r>
    </w:p>
    <w:p>
      <w:pPr/>
      <w:r>
        <w:rPr>
          <w:rFonts w:ascii="Times New Roman" w:hAnsi="Times New Roman" w:eastAsia="Microsoft YaHei"/>
        </w:rPr>
        <w:t>与另一种树模型 `LightGBMRegressor` 相比，`XGBoostRegressor` 的领先则更多体现为稳定而全面的性能优势。`LightGBMRegressor` 的 `cv_mae` 为 0.6610、`cv_r2` 为 -0.0845、`cv_rmse` 为 0.8822，留出集指标为 `holdout_mae` 0.6584、`holdout_r2` 0.0019、`holdout_rmse` 0.8740，整体明显弱于 `XGBoostRegressor`。这表明在同属树模型的前提下，`XGBoostRegressor` 更好地平衡了误差与泛化效果，其优势不只是“比线性模型强”，而是相对于其他候选方案都更稳健。</w:t>
      </w:r>
    </w:p>
    <w:p>
      <w:pPr/>
      <w:r>
        <w:rPr>
          <w:rFonts w:ascii="Times New Roman" w:hAnsi="Times New Roman" w:eastAsia="Microsoft YaHei"/>
        </w:rPr>
        <w:t>此外，当前预处理流程也为 `XGBoostRegressor` 的表现提供了适配条件。数值特征经过缺失修复与异常值兼容处理，类别信息已通过哑变量形式进入特征空间，而树模型本身又不依赖额外标准化。这使得 `XGBoostRegressor` 能够较直接地利用预处理后的混合特征结构，在不受尺度约束的情况下学习不同变量之间的分裂关系。结合其交叉验证和留出集结果接近这一事实，可以认为该模型已经较充分地吸收了现有特征中的有效信息。</w:t>
      </w:r>
    </w:p>
    <w:p>
      <w:pPr/>
      <w:r>
        <w:rPr>
          <w:rFonts w:ascii="Times New Roman" w:hAnsi="Times New Roman" w:eastAsia="Microsoft YaHei"/>
        </w:rPr>
        <w:t>因此，`XGBoostRegressor` 的优势来源可以概括为三点：一是对当前 `GY` 任务中潜在非线性与交互结构的刻画能力更强；二是在 `cultivar`、`season`、`repetition` 复合分组约束下仍保持较好的折间稳定性；三是交叉验证与留出集结果一致，显示出更可靠的泛化表现。基于现有证据，它不仅是统计意义上的最优模型，也是当前最具实际应用价值的预测方案。</w:t>
      </w:r>
    </w:p>
    <w:p>
      <w:pPr>
        <w:pStyle w:val="Heading3"/>
        <w:keepNext/>
      </w:pPr>
      <w:r>
        <w:rPr>
          <w:rFonts w:ascii="Times New Roman" w:hAnsi="Times New Roman" w:eastAsia="Microsoft YaHei"/>
        </w:rPr>
        <w:t>4.5.1 综合表现领先原因</w:t>
      </w:r>
    </w:p>
    <w:p>
      <w:pPr/>
      <w:r>
        <w:rPr>
          <w:rFonts w:ascii="Times New Roman" w:hAnsi="Times New Roman" w:eastAsia="Microsoft YaHei"/>
        </w:rPr>
        <w:t>`XGBoostRegressor` 的领先并不是来自某一项指标的偶然优势，而是体现在不同评估层面上的同步占优。按 `composite_of_cv_rmse_cv_mae_cv_r2` 的综合判定标准，该模型得分为 -0.6735；同时，其交叉验证 `cv_mae` 为 0.4790（最优）、`cv_r2` 为 0.4390（最优）、`cv_rmse` 为 0.6334（最优），留出集 `holdout_mae` 为 0.5204（最优）、`holdout_r2` 为 0.4625（最优）、`holdout_rmse` 为 0.6414（最优）。这说明它不仅在误差控制上优于 `LightGBMRegressor` 和 `ElasticNet`，在对 `GY` 变异的解释能力上也保持明显优势。</w:t>
      </w:r>
    </w:p>
    <w:p>
      <w:pPr/>
      <w:r>
        <w:rPr>
          <w:rFonts w:ascii="Times New Roman" w:hAnsi="Times New Roman" w:eastAsia="Microsoft YaHei"/>
        </w:rPr>
        <w:t>这种综合领先与当前任务中潜在的非线性关系高度一致。执行结果已表明，`ElasticNet` 在交叉验证和留出集上的 `R²` 分别为 -0.0152 和 -0.0006，整体接近无解释力状态，说明单纯线性结构难以有效刻画 `GY`。相比之下，`XGBoostRegressor` 能够取得 `cv_r2` 0.4390（最优）和 `holdout_r2` 0.4625（最优），反映出它更能捕捉特征与目标之间并非简单加和的变化模式。结合候选模型设置中树模型与线性正则化模型的对比，可以将这一结果理解为：当前数据中的有效信号并不主要表现为稳定、单一的线性关系，而更可能包含分段效应、变量交互和条件性影响，因此 `XGBoostRegressor` 更适合这一预测任务。</w:t>
      </w:r>
    </w:p>
    <w:p>
      <w:pPr/>
      <w:r>
        <w:rPr>
          <w:rFonts w:ascii="Times New Roman" w:hAnsi="Times New Roman" w:eastAsia="Microsoft YaHei"/>
        </w:rPr>
        <w:t>其优势还体现在对分组异质性的适应上。本次评估并非普通随机切分，而是采用基于 `cultivar`、`season`、`repetition` 复合分组的 5 折分组交叉验证，并辅以 80%/20% 留出集检验。这样的设计要求模型不仅记住样本特征，还必须对未在训练中出现过的组合模式保持可用预测能力。`XGBoostRegressor` 在这一更严格条件下仍维持全指标最优，且交叉验证与留出集结果接近，表明它对组间差异并不敏感到失稳。尤其是 `holdout_r2` 高于 `cv_r2`，说明模型在独立检验中没有出现明显性能塌陷，泛化表现较为扎实。</w:t>
      </w:r>
    </w:p>
    <w:p>
      <w:pPr/>
      <w:r>
        <w:rPr>
          <w:rFonts w:ascii="Times New Roman" w:hAnsi="Times New Roman" w:eastAsia="Microsoft YaHei"/>
        </w:rPr>
        <w:t>进一步看，对照模型的结果也从反面支持了这一判断。`LightGBMRegressor` 的 `cv_r2` 为 -0.0845，`holdout_r2` 为 0.0019；`ElasticNet` 的 `cv_r2` 为 -0.0152，`holdout_r2` 为 -0.0006。两者虽然在不同指标上略有差别，但都未能形成稳定、持续的有效拟合。与之相比，`XGBoostRegressor` 不仅实现了更低的 `cv_rmse` 和 `holdout_rmse`，也在 `R²` 上显著拉开差距，说明其领先不是局部指标改善，而是对复杂关系与异质样本同时具备更强的建模能力。对于当前 `GY` 预测问题而言，这正是其综合表现领先的根本原因。</w:t>
      </w:r>
    </w:p>
    <w:p>
      <w:pPr>
        <w:pStyle w:val="Heading3"/>
        <w:keepNext/>
      </w:pPr>
      <w:r>
        <w:rPr>
          <w:rFonts w:ascii="Times New Roman" w:hAnsi="Times New Roman" w:eastAsia="Microsoft YaHei"/>
        </w:rPr>
        <w:t>4.5.2 对分布偏态与离群点的适应</w:t>
      </w:r>
    </w:p>
    <w:p>
      <w:pPr/>
      <w:r>
        <w:rPr>
          <w:rFonts w:ascii="Times New Roman" w:hAnsi="Times New Roman" w:eastAsia="Microsoft YaHei"/>
        </w:rPr>
        <w:t>从数据分布特征看，当前 `GY` 预测任务并不是建立在完全对称、无异常的理想数据条件上。前序分析已显示，`PH`、`IFP`、`NLP`、`NGP`、`NGL`、`NS` 等连续性状普遍存在不同程度的右偏，其中 `NLP`、`NGP` 与 `NGL` 的长尾更为明显，且多个变量伴随少量高值离群点；`GY` 自身虽然整体近似正态，但两端也存在少量异常观测。这意味着模型若过度依赖均值附近的线性关系，或对极端样本过于敏感，就容易在训练阶段被少量尾部样本牵引，进而削弱跨分组泛化能力。</w:t>
      </w:r>
    </w:p>
    <w:p>
      <w:pPr/>
      <w:r>
        <w:rPr>
          <w:rFonts w:ascii="Times New Roman" w:hAnsi="Times New Roman" w:eastAsia="Microsoft YaHei"/>
        </w:rPr>
        <w:t>`XGBoostRegressor` 在这一情形下仍能取得交叉验证 `cv_mae` 0.4790、`cv_r2` 0.4390、`cv_rmse` 0.6334，以及留出集 `holdout_mae` 0.5204、`holdout_r2` 0.4625、`holdout_rmse` 0.6414，说明其性能并未被这些偏态分布和少量离群点显著拖累。尤其是在更严格的复合分组验证条件下，模型依然保持误差最低、`R²` 最高，表明它不仅能学习主体样本中的稳定规律，也没有因为尾部观测的存在而出现明显失稳。如果模型对异常值十分脆弱，通常会表现为各折结果大幅波动、留出集拟合度明显下滑，现有结果并未呈现这种特征。</w:t>
      </w:r>
    </w:p>
    <w:p>
      <w:pPr/>
      <w:r>
        <w:rPr>
          <w:rFonts w:ascii="Times New Roman" w:hAnsi="Times New Roman" w:eastAsia="Microsoft YaHei"/>
        </w:rPr>
        <w:t>这种鲁棒性与树集成模型的分裂方式相一致。相较于更依赖整体线性拟合的 `ElasticNet`，`XGBoostRegressor` 不需要假设各变量与 `GY` 之间满足单一、对称且均匀的线性关系，而是可以通过多层树结构对不同取值区间分别建模。对于 `NLP`、`NGP`、`NGL` 这类右偏且带长尾的变量，这种机制更有利于把主体样本区间与少数高值区间区分开来处理，减少极端点对整体参数估计的直接牵引。历史结果中 `ElasticNet` 的 `cv_r2` 仅为 -0.0152、`holdout_r2` 仅为 -0.0006，也从侧面说明当特征分布存在偏态和尾部样本时，单纯线性模型较难稳定提取有效信号。</w:t>
      </w:r>
    </w:p>
    <w:p>
      <w:pPr/>
      <w:r>
        <w:rPr>
          <w:rFonts w:ascii="Times New Roman" w:hAnsi="Times New Roman" w:eastAsia="Microsoft YaHei"/>
        </w:rPr>
        <w:t>同时，前序预处理中已针对异常值与分布偏态进行了控制，并采用稳健标准化以降低离群点对数值尺度的影响。在这一基础上，`XGBoostRegressor` 的领先更可理解为“预处理减弱极端值干扰”与“模型结构适应非对称分布”共同作用的结果。也就是说，模型的优势并非来自对异常样本的简单迎合，而是在保留真实差异信息的前提下，仍能把主要预测能力建立在更普遍、可重复的模式上。</w:t>
      </w:r>
    </w:p>
    <w:p>
      <w:pPr/>
      <w:r>
        <w:rPr>
          <w:rFonts w:ascii="Times New Roman" w:hAnsi="Times New Roman" w:eastAsia="Microsoft YaHei"/>
        </w:rPr>
        <w:t>因此，就本任务而言，`XGBoostRegressor` 对分布偏态与少量离群点表现出较好的适应性。它没有因为 `PH`、`IFP`、`NLP`、`NGP`、`NGL`、`NS` 等变量的右偏长尾而明显失去拟合能力，也未因 `GY` 两端的少量异常观测而在独立检验中出现性能塌陷。这使得该模型更适合用于当前包含真实田间波动、并非完全理想分布的数据环境。</w:t>
      </w:r>
    </w:p>
    <w:p>
      <w:pPr>
        <w:pStyle w:val="Heading3"/>
        <w:keepNext/>
      </w:pPr>
      <w:r>
        <w:rPr>
          <w:rFonts w:ascii="Times New Roman" w:hAnsi="Times New Roman" w:eastAsia="Microsoft YaHei"/>
        </w:rPr>
        <w:t>4.5.3 预测应用价值评估</w:t>
      </w:r>
    </w:p>
    <w:p>
      <w:pPr/>
      <w:r>
        <w:rPr>
          <w:rFonts w:ascii="Times New Roman" w:hAnsi="Times New Roman" w:eastAsia="Microsoft YaHei"/>
        </w:rPr>
        <w:t>从田间试验的应用角度看，`XGBoostRegressor` 已表现出较明确的实用潜力。其价值首先不在于替代实测，而在于作为辅助判断工具，对 `GY` 给出相对稳定的数量化预估，用于支持材料比较、组合优先级排序以及试验资源分配。在当前 320 个样本、53 个特征的条件下，该模型交叉验证 `cv_mae` 为 0.4790（最优）、`cv_r2` 为 0.4390（最优）、`cv_rmse` 为 0.6334（最优），留出集 `holdout_mae` 为 0.5204（最优）、`holdout_r2` 为 0.4625（最优）、`holdout_rmse` 为 0.6414（最优），说明它相较 `LightGBMRegressor` 和 `ElasticNet` 更适合承担这一辅助预测角色。</w:t>
      </w:r>
    </w:p>
    <w:p>
      <w:pPr/>
      <w:r>
        <w:rPr>
          <w:rFonts w:ascii="Times New Roman" w:hAnsi="Times New Roman" w:eastAsia="Microsoft YaHei"/>
        </w:rPr>
        <w:t>这种应用价值的关键，在于模型不仅在训练内评估中占优，而且在更接近真实使用情境的验证设计下仍保持稳定。本次采用的是基于 `cultivar`、`season`、`repetition` 复合分组的 5 折分组交叉验证，并辅以 80%/20% 留出集检验，这意味着模型需要面对未见分组组合的泛化压力。`XGBoostRegressor` 在这种条件下仍被判定为 best_model：XGBoostRegressor，且最优依据为 `composite_of_cv_rmse_cv_mae_cv_r2`，综合得分 = -0.6735，表明其性能并非仅适用于宽松的随机切分场景，而更接近田间试验中跨季次、跨品种组合应用时的实际要求。</w:t>
      </w:r>
    </w:p>
    <w:p>
      <w:pPr/>
      <w:r>
        <w:rPr>
          <w:rFonts w:ascii="Times New Roman" w:hAnsi="Times New Roman" w:eastAsia="Microsoft YaHei"/>
        </w:rPr>
        <w:t>就具体使用方式而言，该模型更适合服务于“相对比较”而非“绝对替代”。当研究目标是从多个材料或处理组合中筛出更值得优先关注的对象时，具备较低误差和中等解释力的模型具有现实意义。`XGBoostRegressor` 的 `holdout_r2` 为 0.4625（最优），说明它已经能够解释 `GY` 变异中的一部分有效信息，足以为早期筛选、候选排序和补充判断提供量化依据；但这一水平也说明，模型尚不能完全覆盖田间环境中的全部波动来源，因此最终结论仍应与实测结果联合使用，而不宜单独作为定案依据。</w:t>
      </w:r>
    </w:p>
    <w:p>
      <w:pPr/>
      <w:r>
        <w:rPr>
          <w:rFonts w:ascii="Times New Roman" w:hAnsi="Times New Roman" w:eastAsia="Microsoft YaHei"/>
        </w:rPr>
        <w:t>与其他候选模型相比，这种应用可用性更加明确。`LightGBMRegressor` 的 `holdout_r2` 仅为 0.0019，`ElasticNet` 的 `holdout_r2` 为 -0.0006，均接近无解释力状态；若用于田间辅助决策，容易导致排序区分能力不足。相比之下，`XGBoostRegressor` 在交叉验证和留出集上的六项指标均为最优，说明它不仅能更有效地控制预测误差，也更有能力保留材料间真实差异的信号。因此，在需要对 `GY` 进行先验评估、缩小候选范围或提高复测针对性的场景下，优先采用 `XGBoostRegressor` 具有现实意义。</w:t>
      </w:r>
    </w:p>
    <w:p>
      <w:pPr/>
      <w:r>
        <w:rPr>
          <w:rFonts w:ascii="Times New Roman" w:hAnsi="Times New Roman" w:eastAsia="Microsoft YaHei"/>
        </w:rPr>
        <w:t>不过，现阶段更适合将其定位为试验决策支持工具，而不是独立的业务终判系统。一方面，现有结果已经证明其具备可用预测能力；另一方面，素材也明确提示，部分农艺变量虽已纳入特征集并对预测可能有帮助，但仍需结合业务时点进一步核查潜在信息泄漏风险。因而在实际落地时，应重点用于试验中期的辅助分析、候选材料优先级调整和后续测定安排优化，并持续结合新季次数据进行复核与更新。这样的使用边界更符合当前证据，也更能体现该模型在田间试验中的实际应用价值。</w:t>
      </w:r>
    </w:p>
    <w:p>
      <w:pPr>
        <w:pStyle w:val="Heading2"/>
        <w:keepNext/>
      </w:pPr>
      <w:r>
        <w:rPr>
          <w:rFonts w:ascii="Times New Roman" w:hAnsi="Times New Roman" w:eastAsia="Microsoft YaHei"/>
        </w:rPr>
        <w:t>4.6 模型局限与优化方向</w:t>
      </w:r>
    </w:p>
    <w:p>
      <w:pPr/>
      <w:r>
        <w:rPr>
          <w:rFonts w:ascii="Times New Roman" w:hAnsi="Times New Roman" w:eastAsia="Microsoft YaHei"/>
        </w:rPr>
        <w:t>尽管 `XGBoostRegressor` 在当前比较中表现最佳，但现有方案仍有明确边界。首先，模型解释力仍处于中等水平，而非高精度拟合。其交叉验证 `cv_r2` 为 0.4390（最优），留出集 `holdout_r2` 为 0.4625（最优），说明模型已经能够捕捉 `GY` 的一部分稳定规律，但仍有相当比例的波动未被现有特征与建模方式解释。这意味着当前模型更适合用于辅助排序和相对比较，而不宜被理解为对单个样本产量结果的完全替代。</w:t>
      </w:r>
    </w:p>
    <w:p>
      <w:pPr/>
      <w:r>
        <w:rPr>
          <w:rFonts w:ascii="Times New Roman" w:hAnsi="Times New Roman" w:eastAsia="Microsoft YaHei"/>
        </w:rPr>
        <w:t>其次，样本规模与分组结构对模型上限形成了现实约束。本次建模使用 320 个样本、53 个特征，并采用基于 `cultivar`、`season`、`repetition` 复合分组的 5 折分组交叉验证及 80%/20% 留出集检验。这样的评估设计提高了结果可信度，但也意味着模型必须面对未见组合模式的泛化压力。在样本总量并不大的情况下，分组后的有效训练信息会进一步被拆分，模型能够学习到的稳定模式因此受到限制。尤其当某些 `cultivar`、`season`、`repetition` 组合出现频次较低时，模型对这些组合附近规律的学习可能不够充分，进而影响预测稳定性。</w:t>
      </w:r>
    </w:p>
    <w:p>
      <w:pPr/>
      <w:r>
        <w:rPr>
          <w:rFonts w:ascii="Times New Roman" w:hAnsi="Times New Roman" w:eastAsia="Microsoft YaHei"/>
        </w:rPr>
        <w:t>再次，当前特征空间虽然已包含 `Cultivar_...`、`Season_...`、`Repetition_...` 等展开后的指示变量以及多项农艺性状，但这并不等于已充分表达全部影响 `GY` 的信息。前序分析已经显示，多项连续性状存在右偏、长尾和少量高值离群点，`XGBoostRegressor` 对此具备较好的适应性，但数据分布复杂本身也提示：现有输入变量与目标之间可能并不是单层次、单路径关系。若仍有关键影响因素未被纳入，或部分变量在业务时点上与 `GY` 存在过近关系，则一方面会限制模型进一步提升，另一方面也需要持续核查潜在信息泄漏风险，避免模型在评估中获得不符合实际应用场景的优势。</w:t>
      </w:r>
    </w:p>
    <w:p>
      <w:pPr/>
      <w:r>
        <w:rPr>
          <w:rFonts w:ascii="Times New Roman" w:hAnsi="Times New Roman" w:eastAsia="Microsoft YaHei"/>
        </w:rPr>
        <w:t>从候选模型对比结果看，当前结论也建立在有限模型集合之上。此次仅比较了 `LightGBMRegressor`、`XGBoostRegressor` 和 `ElasticNet` 三种方法，其中 `XGBoostRegressor` 的 `cv_mae` 为 0.4790（最优）、`cv_rmse` 为 0.6334（最优），留出集 `holdout_mae` 为 0.5204（最优）、`holdout_rmse` 为 0.6414（最优），显著优于另外两者。但这种“最优”应理解为“在当前数据、当前预处理口径和当前候选模型范围内最优”，并不意味着已经达到方法上的全局最优。尤其 `ElasticNet` 的表现显示线性结构难以有效刻画当前任务，`LightGBMRegressor` 的结果也提示不同树模型对该数据的适配程度并不一致，因此后续仍存在参数设定与方法选择上的提升空间。</w:t>
      </w:r>
    </w:p>
    <w:p>
      <w:pPr/>
      <w:r>
        <w:rPr>
          <w:rFonts w:ascii="Times New Roman" w:hAnsi="Times New Roman" w:eastAsia="Microsoft YaHei"/>
        </w:rPr>
        <w:t>可行的优化方向主要有三类。其一，是继续扩充样本覆盖，尤其增加不同 `cultivar`、`season`、`repetition` 组合下的观测，以缓解分组验证场景中的数据稀疏问题，使模型学到更稳健的跨组规律。其二，是围绕特征工程做更细化的筛选与校验，在保留现有农艺性状信息的基础上，进一步检查哪些变量真正提供独立预测价值，哪些变量可能只是与目标高度伴随而不利于实际部署；同时持续核查特征采集时点，避免将可能带来信息泄漏的变量直接用于预测。其三，是针对 `XGBoostRegressor` 继续开展参数优化与稳健性复核，因为当前结果已经表明提升树路线更适合此任务，在这一方向上做更系统的调参与分组外验证，通常比回到简单线性模型更有机会获得性能增益。</w:t>
      </w:r>
    </w:p>
    <w:p>
      <w:pPr/>
      <w:r>
        <w:rPr>
          <w:rFonts w:ascii="Times New Roman" w:hAnsi="Times New Roman" w:eastAsia="Microsoft YaHei"/>
        </w:rPr>
        <w:t>因此，当前方案可以视为一个表现可靠的阶段性最优基线：它已经证明 `GY` 预测任务中存在可被学习的稳定信号，但距离更高解释力和更强跨分组泛化能力仍有差距。后续工作的重点，不应只是追求单次指标继续下降，而应同步提升样本代表性、特征合规性与验证严谨性，使模型性能改进能够真正转化为田间试验场景中的可用能力。</w:t>
      </w:r>
    </w:p>
    <w:p>
      <w:pPr>
        <w:pStyle w:val="Heading3"/>
        <w:keepNext/>
      </w:pPr>
      <w:r>
        <w:rPr>
          <w:rFonts w:ascii="Times New Roman" w:hAnsi="Times New Roman" w:eastAsia="Microsoft YaHei"/>
        </w:rPr>
        <w:t>4.6.1 长尾品种对泛化的影响</w:t>
      </w:r>
    </w:p>
    <w:p>
      <w:pPr/>
      <w:r>
        <w:rPr>
          <w:rFonts w:ascii="Times New Roman" w:hAnsi="Times New Roman" w:eastAsia="Microsoft YaHei"/>
        </w:rPr>
        <w:t>品种频次的长尾结构，是当前模型泛化时需要特别警惕的来源之一。虽然特征中已包含 `Cultivar_...` 这类展开后的指示变量，但哑变量能够提供的主要是“该样本属于哪个品种”的身份信息；当某些品种在 320 个样本中的出现次数本身较少时，模型能够据此学习到的稳定模式也会相应受限。尤其在本次采用基于 `cultivar`、`season`、`repetition` 复合分组的 5 折分组交叉验证与 80%/20% 留出集检验时，模型面对的是更接近未见组合的预测情境，低频品种更容易在某些折或留出划分中表现出训练信息不足的问题。</w:t>
      </w:r>
    </w:p>
    <w:p>
      <w:pPr/>
      <w:r>
        <w:rPr>
          <w:rFonts w:ascii="Times New Roman" w:hAnsi="Times New Roman" w:eastAsia="Microsoft YaHei"/>
        </w:rPr>
        <w:t>这种影响并不一定表现为整体指标的明显失真，而更可能体现在局部样本上的不稳定。`XGBoostRegressor` 之所以仍能成为 best_model：XGBoostRegressor，且在交叉验证与留出集上分别取得 `cv_r2` 为 0.4390（最优）和 `holdout_r2` 为 0.4625（最优），说明它对复杂关系和异质性已有较强适应能力；但这一结果不能被理解为所有品种都获得了同等可靠的学习。对于出现频次较高的品种，模型更容易结合相关农艺性状形成可重复利用的分裂规则；而对于尾部品种，模型往往只能依赖更少的样本去估计其与 `GY` 的关系，因此单个样本扰动、季次差异或重复差异都可能被放大。</w:t>
      </w:r>
    </w:p>
    <w:p>
      <w:pPr/>
      <w:r>
        <w:rPr>
          <w:rFonts w:ascii="Times New Roman" w:hAnsi="Times New Roman" w:eastAsia="Microsoft YaHei"/>
        </w:rPr>
        <w:t>从编码机制看，长尾品种还会带来特征稀疏而信息密度不高的问题。`Cultivar_...` 指示变量在形式上保留了品种差异，但对低频类别而言，该列为 1 的样本过少，难以支撑稳定的统计归纳。在这种情况下，模型即便利用其他连续农艺性状进行补充判断，也仍可能面临“品种身份已知，但该品种历史表现不足”的约束。这也是为什么在当前数据条件下，`ElasticNet` 的 `cv_r2` 仅为 -0.0152、`holdout_r2` 为 -0.0006，`LightGBMRegressor` 的 `cv_r2` 为 -0.0845、`holdout_r2` 为 0.0019；它们对这类由低频类别引出的复杂异质性刻画更弱，而 `XGBoostRegressor` 虽明显更优，也只是相对缓解了问题，并未消除这一风险。</w:t>
      </w:r>
    </w:p>
    <w:p>
      <w:pPr/>
      <w:r>
        <w:rPr>
          <w:rFonts w:ascii="Times New Roman" w:hAnsi="Times New Roman" w:eastAsia="Microsoft YaHei"/>
        </w:rPr>
        <w:t>因此，长尾品种对泛化的影响应理解为当前模型边界的一部分：模型整体上已经具备可用的辅助预测能力，但当预测对象落在样本较少的 `cultivar` 或稀疏的 `cultivar`、`season`、`repetition` 组合附近时，结果的不确定性通常会高于头部品种。对这类样本，更适合将预测值作为排序线索或补充判断，而不宜赋予与高频品种同等强度的定量解释。</w:t>
      </w:r>
    </w:p>
    <w:p>
      <w:pPr>
        <w:pStyle w:val="Heading3"/>
        <w:keepNext/>
      </w:pPr>
      <w:r>
        <w:rPr>
          <w:rFonts w:ascii="Times New Roman" w:hAnsi="Times New Roman" w:eastAsia="Microsoft YaHei"/>
        </w:rPr>
        <w:t>4.6.2 样本规模与分组结构约束</w:t>
      </w:r>
    </w:p>
    <w:p>
      <w:pPr/>
      <w:r>
        <w:rPr>
          <w:rFonts w:ascii="Times New Roman" w:hAnsi="Times New Roman" w:eastAsia="Microsoft YaHei"/>
        </w:rPr>
        <w:t>本节约束主要来自样本总量、特征维度与验证分组方式的共同作用。当前建模基于 320 个样本、53 个特征展开，数据规模并非极小，但对于需要同时学习农艺性状差异、`Cultivar_...`、`Season_...`、`Repetition_...` 等类别展开信息以及它们之间潜在交互关系的回归任务而言，可供模型提炼稳定规律的训练证据仍然有限。尤其在特征数已达到 53 的情况下，样本对复杂模式的支撑能力更容易受到约束，模型能够稳定识别的关系通常只会覆盖其中一部分主要信号，而难以充分刻画全部波动来源。</w:t>
      </w:r>
    </w:p>
    <w:p>
      <w:pPr/>
      <w:r>
        <w:rPr>
          <w:rFonts w:ascii="Times New Roman" w:hAnsi="Times New Roman" w:eastAsia="Microsoft YaHei"/>
        </w:rPr>
        <w:t>这种限制在分组感知评估下会进一步放大。本次采用的是基于 `cultivar`、`season`、`repetition` 复合分组的 5 折分组交叉验证，并结合 80%/20% 留出集检验。相较于普通随机切分，这种设计更接近真实应用中的未见组合预测情境，也能更有效地降低同组样本同时进入训练集与验证集带来的乐观偏差；但代价是每一轮训练可直接利用的相似样本被进一步压缩，模型必须在更少、更分散的证据上完成学习。因此，当前得到的评估结果虽然更可信，却也反映出数据结构本身对模型上限的现实约束。</w:t>
      </w:r>
    </w:p>
    <w:p>
      <w:pPr/>
      <w:r>
        <w:rPr>
          <w:rFonts w:ascii="Times New Roman" w:hAnsi="Times New Roman" w:eastAsia="Microsoft YaHei"/>
        </w:rPr>
        <w:t>从结果上看，`XGBoostRegressor` 仍然是当前证据下的 best_model：其 `cv_mae` 为 0.4790（最优），`cv_r2` 为 0.4390（最优），`cv_rmse` 为 0.6334（最优）；`holdout_mae` 为 0.5204（最优），`holdout_r2` 为 0.4625（最优），`holdout_rmse` 为 0.6414（最优）。但这些结果也说明，模型表现属于“已有稳定信号、但仍受数据边界约束”的状态，而不是在现有试验数据上实现了高度充分的学习。换言之，当前最优模型已经能够从 320 个样本中提取一部分可泛化规律，却尚不足以消化全部由品种、季次、重复及农艺性状共同形成的复杂异质性。</w:t>
      </w:r>
    </w:p>
    <w:p>
      <w:pPr/>
      <w:r>
        <w:rPr>
          <w:rFonts w:ascii="Times New Roman" w:hAnsi="Times New Roman" w:eastAsia="Microsoft YaHei"/>
        </w:rPr>
        <w:t>还需要注意的是，复合分组结构不仅减少了每次训练中可见的局部模式，也提高了不同划分之间的难度差异。当某些 `cultivar`、`season`、`repetition` 组合本身出现次数较少时，模型在部分折次或留出集场景中可能几乎没有足够邻近样本可供参照，进而使局部预测稳定性下降。这类问题未必一定在整体均值指标上完全显现，却会直接影响模型面对稀疏组合、边缘样本或结构不均衡场景时的可靠性。</w:t>
      </w:r>
    </w:p>
    <w:p>
      <w:pPr/>
      <w:r>
        <w:rPr>
          <w:rFonts w:ascii="Times New Roman" w:hAnsi="Times New Roman" w:eastAsia="Microsoft YaHei"/>
        </w:rPr>
        <w:t>因此，当前模型成绩应理解为在严格评估条件下得到的稳健但受限的结果。`LightGBMRegressor` 的 `holdout_r2` 为 0.0019，`ElasticNet` 的 `holdout_r2` 为 -0.0006，说明当数据规模有限且分组约束严格时，候选方法之间的能力差异会被充分暴露；而 `XGBoostRegressor` 虽明显优于两者，也仍然没有摆脱样本规模与复合分组结构带来的上限限制。这意味着后续若希望进一步提升 `GY` 预测能力，仅依赖现有样本反复建模的收益可能有限，更关键的是扩大有效样本覆盖、改善组合分布，并为模型提供更充足且更均衡的训练信息。</w:t>
      </w:r>
    </w:p>
    <w:p>
      <w:pPr>
        <w:pStyle w:val="Heading3"/>
        <w:keepNext/>
      </w:pPr>
      <w:r>
        <w:rPr>
          <w:rFonts w:ascii="Times New Roman" w:hAnsi="Times New Roman" w:eastAsia="Microsoft YaHei"/>
        </w:rPr>
        <w:t>4.6.3 后续特征与参数优化方向</w:t>
      </w:r>
    </w:p>
    <w:p>
      <w:pPr/>
      <w:r>
        <w:rPr>
          <w:rFonts w:ascii="Times New Roman" w:hAnsi="Times New Roman" w:eastAsia="Microsoft YaHei"/>
        </w:rPr>
        <w:t>在现有结果基础上，后续提升空间主要集中在“补充更有解释力的特征”与“进一步细化 `XGBoostRegressor` 的参数控制”两个方向。当前 best_model 为 `XGBoostRegressor`，其 `cv_mae` 为 0.4790（最优）、`cv_r2` 为 0.4390（最优）、`cv_rmse` 为 0.6334（最优），留出集 `holdout_mae` 为 0.5204（最优）、`holdout_r2` 为 0.4625（最优）、`holdout_rmse` 为 0.6414（最优），说明现有特征已经包含一定有效信号；但交叉验证与留出集的表现也表明，模型仍只解释了 `GY` 波动中的一部分，尚有继续改进的空间。</w:t>
      </w:r>
    </w:p>
    <w:p>
      <w:pPr/>
      <w:r>
        <w:rPr>
          <w:rFonts w:ascii="Times New Roman" w:hAnsi="Times New Roman" w:eastAsia="Microsoft YaHei"/>
        </w:rPr>
        <w:t>从特征层面看，当前输入中虽然已包含 `Cultivar_...`、`Season_...`、`Repetition_...` 等展开后的指示变量，并完成了布尔转换、缺失填补与数值标准化适配等处理，但这类表示方式对类别信息的利用仍偏向“身份标记”，对更深层的业务差异刻画有限。后续可优先检查是否还有能够稳定反映 `GY` 变化的农艺性状尚未进入模型，尤其是那些能够补充品种差异、季次差异和重复条件差异的变量。如果存在对 `GY` 具有明确先验关联、且在业务时点上先于目标发生的观测指标，将其纳入后更有机会提升模型对未见组合的泛化能力。与此同时，任何新增字段都需要继续按照当前分组感知验证口径进行检验，避免因为变量与 `GY` 时间关系过近而引入潜在信息泄漏。</w:t>
      </w:r>
    </w:p>
    <w:p>
      <w:pPr/>
      <w:r>
        <w:rPr>
          <w:rFonts w:ascii="Times New Roman" w:hAnsi="Times New Roman" w:eastAsia="Microsoft YaHei"/>
        </w:rPr>
        <w:t>在现有特征空间内部，也可围绕变量组织方式做进一步优化。由于本任务具有明显的非线性和交互特征，单纯保留平铺式输入未必足以让模型充分利用信息。后续可结合已有农艺性状，尝试构造更能体现相对关系、阶段差异或联合变化的派生特征，以增强模型对复杂模式的识别能力。尤其是在 `cultivar`、`season`、`repetition` 复合分组约束下，真正有价值的特征应当不仅能改善训练集拟合，还应在分组交叉验证与 80%/20% 留出集上同时保持稳定；若某类新特征只在局部样本上带来提升，则更可能是对偶然模式的吸收，而非可泛化规律。</w:t>
      </w:r>
    </w:p>
    <w:p>
      <w:pPr/>
      <w:r>
        <w:rPr>
          <w:rFonts w:ascii="Times New Roman" w:hAnsi="Times New Roman" w:eastAsia="Microsoft YaHei"/>
        </w:rPr>
        <w:t>参数优化方面，应以当前最优的 `XGBoostRegressor` 为核心继续迭代，而不是平均分散到表现明显偏弱的模型上。对比结果显示，`LightGBMRegressor` 的 `cv_r2` 为 -0.0845、`holdout_r2` 为 0.0019，`ElasticNet` 的 `cv_r2` 为 -0.0152、`holdout_r2` 为 -0.0006，二者均未表现出与 `XGBoostRegressor` 接近的解释力。因此，更合理的做法是在既有最优方案上，通过更细致的超参数搜索平衡拟合能力与泛化稳定性，例如围绕树深、学习率、弱学习器数量以及样本与特征采样强度等参数进行联动调节。考虑到当前采用的是基于 `cultivar`、`season`、`repetition` 的 5 折分组交叉验证，参数选择不宜只追求单次验证误差最低，而应优先选择在不同分组折次下表现更一致的配置。</w:t>
      </w:r>
    </w:p>
    <w:p>
      <w:pPr/>
      <w:r>
        <w:rPr>
          <w:rFonts w:ascii="Times New Roman" w:hAnsi="Times New Roman" w:eastAsia="Microsoft YaHei"/>
        </w:rPr>
        <w:t>此外，参数优化应与数据规模约束一并考虑。当前训练与评估仅基于 320 个样本、53 个特征，若参数设置过于激进，模型虽然可能在局部划分中获得更低误差，却也更容易放大分组结构中的偶然波动。因而后续调参更适合采用循序渐进的策略：先在较保守范围内寻找稳定区间，再判断是否有必要增加模型复杂度。这样既能延续 `XGBoostRegressor` 在现阶段已经体现出的稳健优势，也能减少在严格分组验证下因过度追求训练拟合而造成的性能回落。</w:t>
      </w:r>
    </w:p>
    <w:p>
      <w:pPr/>
      <w:r>
        <w:rPr>
          <w:rFonts w:ascii="Times New Roman" w:hAnsi="Times New Roman" w:eastAsia="Microsoft YaHei"/>
        </w:rPr>
        <w:t>最后，特征优化与参数优化不应割裂进行。当前结果已经说明，`GY` 的预测更适合由能够刻画非线性与复杂交互的提升树模型承担，因此后续迭代的重点，不是简单扩大特征数量，而是筛选真正能在分组验证中提供增益的变量，并将其与 `XGBoostRegressor` 的参数搜索联合评估。只有在“新增特征带来可解释的业务信息”与“参数调整带来可重复的验证改善”同时成立时，模型预测能力的提升才更具可信度。</w:t>
      </w:r>
    </w:p>
    <w:p>
      <w:pPr>
        <w:pStyle w:val="Heading1"/>
        <w:keepNext/>
      </w:pPr>
      <w:r>
        <w:rPr>
          <w:rFonts w:ascii="Times New Roman" w:hAnsi="Times New Roman" w:eastAsia="Microsoft YaHei"/>
        </w:rPr>
        <w:t>5 结论与应用展望</w:t>
      </w:r>
    </w:p>
    <w:p>
      <w:pPr/>
      <w:r>
        <w:rPr>
          <w:rFonts w:ascii="Times New Roman" w:hAnsi="Times New Roman" w:eastAsia="Microsoft YaHei"/>
        </w:rPr>
        <w:t>基于本次田间试验数据的整理、可视化分析与回归建模，可以形成较为清晰的总体判断。该数据集共包含 320 个样本、11 个原始字段，基本观测单元可理解为“Season—Cultivar—Repetition”的组合，并围绕 `PH`、`IFP`、`NLP`、`NGP`、`NGL`、`NS`、`MHG` 与 `GY` 等连续指标展开记录。就试验结构而言，`Season` 与 `Repetition` 的样本分布较为均衡，这使不同季次、不同重复之间的比较具备较好的可比性；但在品种层面，`Cultivar` 呈现明显长尾特征，说明不同品种的样本支撑力度并不一致，这一点会同时影响统计解释的稳定性与模型对低频品种的泛化能力。</w:t>
      </w:r>
    </w:p>
    <w:p>
      <w:pPr/>
      <w:r>
        <w:rPr>
          <w:rFonts w:ascii="Times New Roman" w:hAnsi="Times New Roman" w:eastAsia="Microsoft YaHei"/>
        </w:rPr>
        <w:t>从数据表现看，多数连续性状在预处理后的尺度上集中于 0 附近，整体呈单峰分布，说明样本群体在大部分农艺指标上具有一定稳定性；但不同变量的偏态程度并不一致，其中 `NLP`、`NGP`、`NGL`、`NS` 等指标存在较明显的右偏和少量高值离群点，`PH` 也表现出一定波动与高值异常特征，而 `MHG` 相对更接近对称分布。`GY` 本身则呈近似正态分布，主要集中在中心区间，两端存在少量离群样本。这意味着当前试验材料的产量表现整体并非高度离散，但确有少数样本在产量或关键农艺性状上明显偏离常规水平，因而既不能简单以均值替代全部差异，也不宜将极端样本直接视为噪声剔除；更合理的做法，是把这些尾部样本视作后续品种复核与重点观察的优先对象。</w:t>
      </w:r>
    </w:p>
    <w:p>
      <w:pPr/>
      <w:r>
        <w:rPr>
          <w:rFonts w:ascii="Times New Roman" w:hAnsi="Times New Roman" w:eastAsia="Microsoft YaHei"/>
        </w:rPr>
        <w:t>从建模结果看，以 `GY` 为目标变量、基于 320 个样本和 53 个特征开展的监督式回归比较表明，`XGBoostRegressor` 是当前证据下的最优方案。其 `cv_mae` 为 0.4790（最优）、`cv_r2` 为 0.4390（最优）、`cv_rmse` 为 0.6334（最优）；`holdout_mae` 为 0.5204（最优）、`holdout_r2` 为 0.4625（最优）、`holdout_rmse` 为 0.6414（最优）。相比之下，`LightGBMRegressor` 的 `cv_r2` 为 -0.0845、`holdout_r2` 为 0.0019，`ElasticNet` 的 `cv_r2` 为 -0.0152、`holdout_r2` 为 -0.0006，均未显示出对 `GY` 的稳定解释能力。由此可以判断，当前任务中的产量变化并不适合仅用简单线性结构概括，`Season`、`Cultivar`、`Repetition` 与各连续性状之间很可能存在一定非线性和交互效应，而 `XGBoostRegressor` 对这类关系的适应性更强。</w:t>
      </w:r>
    </w:p>
    <w:p>
      <w:pPr/>
      <w:r>
        <w:rPr>
          <w:rFonts w:ascii="Times New Roman" w:hAnsi="Times New Roman" w:eastAsia="Microsoft YaHei"/>
        </w:rPr>
        <w:t>不过，这一最优结果应被理解为“当前条件下可用且相对稳健”，而不是“已达到充分拟合”。本次评估采用了基于 `cultivar`、`season`、`repetition` 复合分组的 5 折分组交叉验证，并结合 80%/20% 留出集检验，这种设计比普通随机切分更严格，也更接近实际应用中对未见组合进行预测的情境。因此，`XGBoostRegressor` 所取得的结果具有较强参考价值，但也同时说明：在 320 个样本、53 个特征的条件下，模型只能提取出一部分稳定规律，尚不足以完全消化由品种差异、季次环境和重复条件共同带来的全部波动。对结论的使用应保持审慎，尤其不宜把单次模型输出直接等同于品种长期表现结论。</w:t>
      </w:r>
    </w:p>
    <w:p>
      <w:pPr/>
      <w:r>
        <w:rPr>
          <w:rFonts w:ascii="Times New Roman" w:hAnsi="Times New Roman" w:eastAsia="Microsoft YaHei"/>
        </w:rPr>
        <w:t>在品种筛选应用上，当前分析更适合用于构建“分层筛选、重点复核”的决策框架。具体而言，可优先将 `GY` 的相对表现与 `PH`、`IFP`、`NLP`、`NGP`、`NGL`、`NS`、`MHG` 等农艺性状结合起来，识别在产量与性状上同时表现较优、且在不同 `Season` 与 `Repetition` 下波动相对可控的材料，作为重点候选品种。对于表现突出的高值样本，不应只依据单项极值作推广判断，而应回到其对应的 `Cultivar`、`Season` 与 `Repetition` 组合，核查这种优势是稳定出现，还是仅在少数条件下偶发出现。这样既能避免把偶然高产误判为稳定优势，也能更有效地保留真正具有推广潜力的材料。</w:t>
      </w:r>
    </w:p>
    <w:p>
      <w:pPr/>
      <w:r>
        <w:rPr>
          <w:rFonts w:ascii="Times New Roman" w:hAnsi="Times New Roman" w:eastAsia="Microsoft YaHei"/>
        </w:rPr>
        <w:t>对于长尾品种，当前数据给出的信息更适合作为“线索”而非“定论”。由于部分 `Cultivar` 的样本历史支撑有限，即使模型已经纳入了对应的哑变量，也仍可能面临该品种证据不足的问题。因此，针对低频品种，更合理的应用方式是先借助现有分析识别其是否存在值得关注的异常高值或特殊性状组合，再通过后续补充试验扩大其在不同 `Season` 和 `Repetition` 下的观测覆盖，逐步确认其表现是否稳定。只有当样本量与环境覆盖达到更充分水平后，品种间比较结论才更适合用于直接推广决策。</w:t>
      </w:r>
    </w:p>
    <w:p>
      <w:pPr/>
      <w:r>
        <w:rPr>
          <w:rFonts w:ascii="Times New Roman" w:hAnsi="Times New Roman" w:eastAsia="Microsoft YaHei"/>
        </w:rPr>
        <w:t>在试验实施与数据管理层面，本次流程也给出了较明确的优化方向。首先，数据预处理中已经体现出对异常表头行识别、`Cultivar` 字段清洗、数值字段中位数填补、稳健标准化以及分类变量独热编码的必要性，说明后续采集环节仍应继续强化字段规范、录入一致性和表结构管理，尽量减少结构性噪声进入分析链路。其次，当前 `Season` 与 `Repetition` 分布均衡，是本批数据的重要优势，后续试验设计应尽量保持这种均衡性，同时结合品种长尾问题，适度提升低频 `Cultivar` 的重复覆盖与跨季覆盖，以增强结论的可比性和外推性。</w:t>
      </w:r>
    </w:p>
    <w:p>
      <w:pPr/>
      <w:r>
        <w:rPr>
          <w:rFonts w:ascii="Times New Roman" w:hAnsi="Times New Roman" w:eastAsia="Microsoft YaHei"/>
        </w:rPr>
        <w:t>面向实际推广，`XGBoostRegressor` 已具备一定的辅助决策价值，但更适合作为筛选支持工具，而不是独立的最终裁决工具。在现阶段，它可以用于对 `GY` 进行相对水平预估，帮助研究人员在大量材料中优先定位值得重点跟踪的组合，提升试验资源分配效率；同时也可作为品种比较的补充证据，与田间观察和农艺判断联合使用。后续若能在保持现有分组感知验证口径的前提下，继续补充更有解释力的先验农艺特征，并围绕 `XGBoostRegressor` 做进一步参数优化，模型对未见组合的泛化能力仍有提升空间。随着新季数据持续积累，这一分析框架有望从单次评估工具逐步演进为服务品种筛选、试验优化与生产推荐的持续更新机制。</w:t>
      </w:r>
    </w:p>
    <w:p>
      <w:pPr>
        <w:pStyle w:val="Heading2"/>
        <w:keepNext/>
      </w:pPr>
      <w:r>
        <w:rPr>
          <w:rFonts w:ascii="Times New Roman" w:hAnsi="Times New Roman" w:eastAsia="Microsoft YaHei"/>
        </w:rPr>
        <w:t>5.1 主要分析结论</w:t>
      </w:r>
    </w:p>
    <w:p>
      <w:pPr/>
      <w:r>
        <w:rPr>
          <w:rFonts w:ascii="Times New Roman" w:hAnsi="Times New Roman" w:eastAsia="Microsoft YaHei"/>
        </w:rPr>
        <w:t>本次分析可以归纳出三方面核心结论。其一，数据本身具备较好的试验设计可比性。原始数据共 320 个样本、11 个字段，基本记录框架由 `Season`、`Cultivar` 和 `Repetition` 构成，其余 `PH`、`IFP`、`NLP`、`NGP`、`NGL`、`NS`、`MHG` 与 `GY` 为连续指标。就分层结构看，`Season` 与 `Repetition` 的样本分布较为均衡，说明不同季次和不同重复之间的比较基础较扎实；但 `Cultivar` 呈现明显长尾特征，不同品种的样本支撑并不一致，因此品种层面的结论需要同时考虑样本量差异带来的不确定性。</w:t>
      </w:r>
    </w:p>
    <w:p>
      <w:pPr/>
      <w:r>
        <w:rPr>
          <w:rFonts w:ascii="Times New Roman" w:hAnsi="Times New Roman" w:eastAsia="Microsoft YaHei"/>
        </w:rPr>
        <w:t>其二，农艺性状整体表现出“多数稳定、少数偏态”的特征。预处理后，各连续变量大多围绕 0 附近分布，整体以单峰形态为主，说明样本群体在多数指标上并非高度离散。具体而言，`PH` 和 `IFP` 总体较集中，但仍存在一定波动，其中 `PH` 伴有少量高值异常；`MHG` 更接近对称分布，稳定性相对较好。相比之下，`NLP`、`NGP`、`NGL`、`NS` 的右偏更明显，并伴随少量高值离群点，说明这些指标的差异更容易由少数高表现样本拉开。由此可见，群体中的主要差别并不是所有性状都同步大幅波动，而是集中体现在部分关键指标的尾部表现上，这类样本更值得作为后续复核和筛选的重点对象。</w:t>
      </w:r>
    </w:p>
    <w:p>
      <w:pPr/>
      <w:r>
        <w:rPr>
          <w:rFonts w:ascii="Times New Roman" w:hAnsi="Times New Roman" w:eastAsia="Microsoft YaHei"/>
        </w:rPr>
        <w:t>其三，`GY` 的变化既受到整体试验结构约束，也反映了品种与农艺性状差异的综合作用。`GY` 自身呈近似正态分布，主要集中在中心区间，两端仅有少量离群样本，说明多数材料或处理组合的产量表现相对稳定，不存在普遍性的极端高产或极端低产。结合前述性状分布可判断，产量差异更可能来自部分农艺指标的非均匀变化，以及不同 `Cultivar` 在不同 `Season`、`Repetition` 条件下的组合差异，而不是单一分组因素的简单线性作用。这也与建模结果形成了相互印证：以 `GY` 为目标变量、基于 320 个样本和 53 个特征进行比较后，`XGBoostRegressor` 为当前最优模型，其 `cv_mae` 为 0.4790（最优）、`cv_r2` 为 0.4390（最优）、`cv_rmse` 为 0.6334（最优），`holdout_mae` 为 0.5204（最优）、`holdout_r2` 为 0.4625（最优）、`holdout_rmse` 为 0.6414（最优）。这一结果说明，现有数据中已经包含可以支持 `GY` 预测的稳定信号，但这些信号尚不足以完全解释产量波动，产量形成机制仍带有较强的非线性、交互性和组间异质性。</w:t>
      </w:r>
    </w:p>
    <w:p>
      <w:pPr/>
      <w:r>
        <w:rPr>
          <w:rFonts w:ascii="Times New Roman" w:hAnsi="Times New Roman" w:eastAsia="Microsoft YaHei"/>
        </w:rPr>
        <w:t>综合本次整理、可视化与建模结果，可以认为该试验数据适合用于开展品种比较、产量关联分析和初步预测建模；其中，均衡的 `Season` 与 `Repetition` 结构提升了比较结论的可信度，长尾化的 `Cultivar` 分布则提醒我们在解释品种差异时保持审慎。对 `GY` 而言，真正有分析价值的并非单个指标的孤立高低，而是 `PH`、`IFP`、`NLP`、`NGP`、`NGL`、`NS`、`MHG` 与品种、季次、重复条件共同构成的综合模式。当前最优模型能够提取其中一部分规律，但也表明后续若要进一步提高解释力与泛化能力，仍需依赖更充分的特征信息和更细致的组合差异刻画。</w:t>
      </w:r>
    </w:p>
    <w:p>
      <w:pPr>
        <w:pStyle w:val="Heading3"/>
        <w:keepNext/>
      </w:pPr>
      <w:r>
        <w:rPr>
          <w:rFonts w:ascii="Times New Roman" w:hAnsi="Times New Roman" w:eastAsia="Microsoft YaHei"/>
        </w:rPr>
        <w:t>5.1.1 试验结构与样本分布结论</w:t>
      </w:r>
    </w:p>
    <w:p>
      <w:pPr/>
      <w:r>
        <w:rPr>
          <w:rFonts w:ascii="Times New Roman" w:hAnsi="Times New Roman" w:eastAsia="Microsoft YaHei"/>
        </w:rPr>
        <w:t>本次试验数据在核心分层结构上表现出较好的均衡性。`Season 1` 与 `Season 2` 的样本数量几乎完全一致，说明季次之间不存在明显的样本倾斜；同时，4个 `Repetition` 组的计数完全一致，且各组均约为80，表明重复层面的样本分配也保持了高度一致。这样的结构特征说明试验设计在季次与重复两个关键维度上较为规范，为组间比较提供了稳定前提。</w:t>
      </w:r>
    </w:p>
    <w:p>
      <w:pPr/>
      <w:r>
        <w:rPr>
          <w:rFonts w:ascii="Times New Roman" w:hAnsi="Times New Roman" w:eastAsia="Microsoft YaHei"/>
        </w:rPr>
        <w:t>从结论层面看，`Season` 的均衡分布直接提升了不同季次之间比较的可比性，使后续对 `PH`、`IFP`、`NLP`、`NGP`、`NGL`、`NS`、`MHG` 以及 `GY` 的差异分析，不会因季次样本量失衡而产生明显偏差。相应地，`Repetition` 的完全均衡也降低了重复次数分配不一致对统计结果造成的干扰，使重复间波动更能反映真实试验差异，而非样本数量差异带来的表观变化。</w:t>
      </w:r>
    </w:p>
    <w:p>
      <w:pPr/>
      <w:r>
        <w:rPr>
          <w:rFonts w:ascii="Times New Roman" w:hAnsi="Times New Roman" w:eastAsia="Microsoft YaHei"/>
        </w:rPr>
        <w:t>因此，就试验结构与样本分布而言，可以认为本批田间试验数据具备较好的结构稳定性和比较公平性。季次与重复两个维度的均衡配置增强了分析结果的可信度，也使后续关于性状差异、产量表现及模型评估的结论具有更扎实的数据支撑。需要注意的是，这里的结论主要针对 `Season` 与 `Repetition` 两个试验组织维度成立，说明整体试验框架是稳健的。</w:t>
      </w:r>
    </w:p>
    <w:p>
      <w:pPr>
        <w:pStyle w:val="Heading3"/>
        <w:keepNext/>
      </w:pPr>
      <w:r>
        <w:rPr>
          <w:rFonts w:ascii="Times New Roman" w:hAnsi="Times New Roman" w:eastAsia="Microsoft YaHei"/>
        </w:rPr>
        <w:t>5.1.2 农艺性状与GY关系结论</w:t>
      </w:r>
    </w:p>
    <w:p>
      <w:pPr/>
      <w:r>
        <w:rPr>
          <w:rFonts w:ascii="Times New Roman" w:hAnsi="Times New Roman" w:eastAsia="Microsoft YaHei"/>
        </w:rPr>
        <w:t>围绕 `GY` 的关系判断，本次数据更支持“多性状共同作用、单一指标解释有限”的结论。其中，`PH`、`NLP`、`NGP`、`NGL`、`NS` 等农艺性状在群体中存在更明显的波动或右偏特征，说明产量差异更可能由少数关键性状的非均匀变化拉开；相较之下，`MHG` 分布更接近对称，稳定性较好，单独作为区分高低产材料的信号可能相对有限。`IFP` 与 `GY` 的关系也显示出同样特征：两个 `Season` 的散点分布高度重叠，整体相关性较弱，仅在 `Season 2` 中表现出轻微正相关趋势，但强度并不高，说明仅依靠 `IFP` 难以有效判断产量表现，必须结合其他性状综合分析</w:t>
      </w:r>
    </w:p>
    <w:p>
      <w:pPr>
        <w:spacing w:before="200" w:after="80"/>
        <w:jc w:val="center"/>
      </w:pPr>
      <w:r>
        <w:drawing>
          <wp:inline xmlns:a="http://schemas.openxmlformats.org/drawingml/2006/main" xmlns:pic="http://schemas.openxmlformats.org/drawingml/2006/picture">
            <wp:extent cx="3291839" cy="2116182"/>
            <wp:docPr id="44" name="Picture 44"/>
            <wp:cNvGraphicFramePr>
              <a:graphicFrameLocks noChangeAspect="1"/>
            </wp:cNvGraphicFramePr>
            <a:graphic>
              <a:graphicData uri="http://schemas.openxmlformats.org/drawingml/2006/picture">
                <pic:pic>
                  <pic:nvPicPr>
                    <pic:cNvPr id="0" name="image.png"/>
                    <pic:cNvPicPr/>
                  </pic:nvPicPr>
                  <pic:blipFill>
                    <a:blip r:embed="rId5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图44 不同季节gy与ifp关系</w:t>
      </w:r>
    </w:p>
    <w:p>
      <w:pPr/>
      <w:r>
        <w:rPr>
          <w:rFonts w:ascii="Times New Roman" w:hAnsi="Times New Roman" w:eastAsia="Microsoft YaHei"/>
        </w:rPr>
        <w:t>从品种影响看，`GY` 的变化并不是脱离 `Cultivar` 背景独立发生的。预处理后进入分析与建模的特征中，除连续性状外，还包含大量 `Cultivar_...` 指示变量，说明品种差异本身就是解释产量变异的重要组成部分。结合前述分布特征可以判断，不同 `Cultivar` 很可能通过对 `PH`、`NLP`、`NGP`、`NGL`、`NS` 等性状组合的不同表现，形成产量层面的差异，而不是由某一个农艺指标单独决定高产或低产。</w:t>
      </w:r>
    </w:p>
    <w:p>
      <w:pPr/>
      <w:r>
        <w:rPr>
          <w:rFonts w:ascii="Times New Roman" w:hAnsi="Times New Roman" w:eastAsia="Microsoft YaHei"/>
        </w:rPr>
        <w:t>这一判断也与建模结果相互印证。以 320 个样本、53 个特征对 `GY` 建模时，`XGBoostRegressor` 表现最佳，`cv_mae` 为 0.4790（最优）、`cv_r2` 为 0.4390（最优）、`cv_rmse` 为 0.6334（最优），`holdout_mae` 为 0.5204（最优）、`holdout_r2` 为 0.4625（最优）、`holdout_rmse` 为 0.6414（最优）。相比 `ElasticNet` 这类线性模型，其结果更好，说明 `GY` 与农艺性状、品种及分组信息之间更可能存在非线性关系和交互效应。就本节结论而言，可将 `PH`、`NLP`、`NGP`、`NGL`、`NS` 视为更值得重点关注的关联性状，而 `Cultivar` 差异应作为解释产量变异时不可忽略的核心背景因素。</w:t>
      </w:r>
    </w:p>
    <w:p>
      <w:pPr>
        <w:pStyle w:val="Heading3"/>
        <w:keepNext/>
      </w:pPr>
      <w:r>
        <w:rPr>
          <w:rFonts w:ascii="Times New Roman" w:hAnsi="Times New Roman" w:eastAsia="Microsoft YaHei"/>
        </w:rPr>
        <w:t>5.1.3 最优模型结论</w:t>
      </w:r>
    </w:p>
    <w:p>
      <w:pPr/>
      <w:r>
        <w:rPr>
          <w:rFonts w:ascii="Times New Roman" w:hAnsi="Times New Roman" w:eastAsia="Microsoft YaHei"/>
        </w:rPr>
        <w:t>基于当前以 `GY` 为目标变量的回归比较结果，可以明确将 `XGBoostRegressor` 确认为本研究的最优模型。其最优依据为 `composite_of_cv_rmse_cv_mae_cv_r2`，综合得分为 -0.6735；同时，在交叉验证与留出集两个层面，`XGBoostRegressor` 的核心指标均优于 `LightGBMRegressor` 和 `ElasticNet`，因此这一结论具有直接且一致的量化支持。</w:t>
      </w:r>
    </w:p>
    <w:p>
      <w:pPr/>
      <w:r>
        <w:rPr>
          <w:rFonts w:ascii="Times New Roman" w:hAnsi="Times New Roman" w:eastAsia="Microsoft YaHei"/>
        </w:rPr>
        <w:t>具体来看，`XGBoostRegressor` 的 `cv_mae` 为 0.4790（最优）、`cv_r2` 为 0.4390（最优）、`cv_rmse` 为 0.6334（最优），`holdout_mae` 为 0.5204（最优）、`holdout_r2` 为 0.4625（最优）、`holdout_rmse` 为 0.6414（最优）。相比之下，`LightGBMRegressor` 的 `cv_r2` 为 -0.0845、`holdout_r2` 为 0.0019，`ElasticNet` 的 `cv_r2` 为 -0.0152、`holdout_r2` 为 -0.0006，均未表现出与 `XGBoostRegressor` 相当的解释能力；在误差指标上，两者的 `cv_mae`、`cv_rmse`、`holdout_mae` 和 `holdout_rmse` 也整体高于 `XGBoostRegressor`。这说明在当前 320 个样本、53 个特征的任务设定下，`XGBoostRegressor` 在精度与拟合效果上均处于领先位置。</w:t>
      </w:r>
    </w:p>
    <w:p>
      <w:pPr/>
      <w:r>
        <w:rPr>
          <w:rFonts w:ascii="Times New Roman" w:hAnsi="Times New Roman" w:eastAsia="Microsoft YaHei"/>
        </w:rPr>
        <w:t>从稳健性角度看，`XGBoostRegressor` 的交叉验证结果与留出集结果较为接近，表明模型在分组感知验证条件下仍保持了较好的泛化表现。尤其是 `holdout_r2 = 0.4625` 高于 `cv_r2 = 0.4390`，没有出现留出集性能明显恶化的情况，说明该模型未表现出强烈过拟合信号。在采用 `cultivar`、`season`、`repetition` 复合分组的 5 折交叉验证与 80%/20% 留出检验后，仍能取得这一结果，也进一步增强了其作为当前优先方案的可信度。</w:t>
      </w:r>
    </w:p>
    <w:p>
      <w:pPr/>
      <w:r>
        <w:rPr>
          <w:rFonts w:ascii="Times New Roman" w:hAnsi="Times New Roman" w:eastAsia="Microsoft YaHei"/>
        </w:rPr>
        <w:t>因此，本报告在模型结论层面确认：`XGBoostRegressor` 是当前证据下用于 `GY` 预测的最佳方案。相较于 `LightGBMRegressor` 与 `ElasticNet`，它更能适应现有特征空间中的复杂关系，并在误差控制、解释能力和泛化稳定性之间取得更好的平衡，可作为后续预测分析与应用评估的首选模型。</w:t>
      </w:r>
    </w:p>
    <w:p>
      <w:pPr>
        <w:pStyle w:val="Heading2"/>
        <w:keepNext/>
      </w:pPr>
      <w:r>
        <w:rPr>
          <w:rFonts w:ascii="Times New Roman" w:hAnsi="Times New Roman" w:eastAsia="Microsoft YaHei"/>
        </w:rPr>
        <w:t>5.2 面向品种筛选的应用建议</w:t>
      </w:r>
    </w:p>
    <w:p>
      <w:pPr/>
      <w:r>
        <w:rPr>
          <w:rFonts w:ascii="Times New Roman" w:hAnsi="Times New Roman" w:eastAsia="Microsoft YaHei"/>
        </w:rPr>
        <w:t>面向品种筛选时，建议将 `GY` 作为核心结果指标，但不把任何单一农艺性状视为直接替代指标。现有分析表明，`PH`、`NLP`、`NGP`、`NGL`、`NS` 等性状在群体中存在更明显的波动、右偏或高值尾部，而 `IFP` 与 `GY` 的整体相关性也偏弱，这意味着高产材料的形成更可能依赖多性状组合，而不是某一个指标单独领先。因此，在初筛阶段更适合采用“产量达标 + 多性状协同表现”的复合判断框架：先围绕 `GY` 识别表现靠前的材料，再检查其在 `PH`、`NLP`、`NGP`、`NGL`、`NS` 上是否呈现一致性的优势或至少不存在明显短板，以减少因偶然高产或单指标异常而造成的误判。</w:t>
      </w:r>
    </w:p>
    <w:p>
      <w:pPr/>
      <w:r>
        <w:rPr>
          <w:rFonts w:ascii="Times New Roman" w:hAnsi="Times New Roman" w:eastAsia="Microsoft YaHei"/>
        </w:rPr>
        <w:t>结合预处理与建模结果，`Cultivar` 不应仅被视为标签信息，而应被纳入筛选决策的主体维度。建模后的特征空间中包含大量 `Cultivar_...` 指示变量，说明品种差异本身就是解释 `GY` 变化的重要来源。实际应用中，可将候选材料分为两类：一类是 `GY` 表现较好且多项性状同步稳定的品种，可优先进入下一轮育种评价或区域试验；另一类是 `GY` 尚未处于绝对领先，但在 `NGP`、`NGL`、`NS` 等关键性状上出现突出高值的材料，这类材料更适合作为性状改良或杂交组合中的潜在亲本，而不宜仅凭当前单季结果直接淘汰。</w:t>
      </w:r>
    </w:p>
    <w:p>
      <w:pPr/>
      <w:r>
        <w:rPr>
          <w:rFonts w:ascii="Times New Roman" w:hAnsi="Times New Roman" w:eastAsia="Microsoft YaHei"/>
        </w:rPr>
        <w:t>由于样本在 `Season` 与 `Repetition` 两个维度上配置均衡，当前数据具备较好的比较基础，因此在品种筛选时应强调跨季次、跨重复的一致性，而不是只看单次观测的峰值表现。对于候选 `Cultivar`，建议优先关注其在不同 `Season`、不同 `Repetition` 下是否保持相对稳定的 `GY` 水平，以及关键性状是否出现大幅波动。若某一材料只在个别重复中表现突出，而整体稳定性不足，则更应被视为待验证对象，而非直接认定为高潜力品种。相反，能够在均衡试验结构下持续保持较好 `GY` 表现的材料，更适合进入后续重点推广或扩繁评价名单。</w:t>
      </w:r>
    </w:p>
    <w:p>
      <w:pPr/>
      <w:r>
        <w:rPr>
          <w:rFonts w:ascii="Times New Roman" w:hAnsi="Times New Roman" w:eastAsia="Microsoft YaHei"/>
        </w:rPr>
        <w:t>针对品种长尾特征明显这一现实情况，应用层面还应避免对低频 `Cultivar` 做过度确定的优劣判断。当前品种分布较分散，部分品种的样本支撑相对有限，这会放大单次异常观测对品种结论的影响。因此，对长尾品种更合理的做法是采取“保守入围、追加验证”的策略：如果其 `GY` 或关键性状表现出潜力，可以纳入补充观察名单，在后续季次中增加重复或扩大样本后再做定论；如果其表现一般，也不宜仅依据当前有限样本给出强结论。这样既能保留潜在优良材料，也能降低样本不足导致的筛选偏差。</w:t>
      </w:r>
    </w:p>
    <w:p>
      <w:pPr/>
      <w:r>
        <w:rPr>
          <w:rFonts w:ascii="Times New Roman" w:hAnsi="Times New Roman" w:eastAsia="Microsoft YaHei"/>
        </w:rPr>
        <w:t>从工具使用角度看，当前以 `GY` 为目标变量的回归比较已经表明，`XGBoostRegressor` 是最优模型，`cv_mae` 为 0.4790（最优）、`cv_r2` 为 0.4390（最优）、`cv_rmse` 为 0.6334（最优），`holdout_mae` 为 0.5204（最优）、`holdout_r2` 为 0.4625（最优）、`holdout_rmse` 为 0.6414（最优）。这意味着在后续品种筛选中，可以将该模型作为辅助排序工具，用于综合 `PH`、`IFP`、`NLP`、`NGP`、`NGL`、`NS`、`MHG` 以及 `Cultivar`、`Season`、`Repetition` 信息，对候选材料的 `GY` 潜力进行预判。但模型结果更适合承担“辅助决策”而非“替代决策”角色，即用于发现值得重点复核的材料、缩小候选范围和提高试验资源配置效率，而不应脱离田间观测直接决定品种去留。</w:t>
      </w:r>
    </w:p>
    <w:p>
      <w:pPr/>
      <w:r>
        <w:rPr>
          <w:rFonts w:ascii="Times New Roman" w:hAnsi="Times New Roman" w:eastAsia="Microsoft YaHei"/>
        </w:rPr>
        <w:t>在具体执行上，可将筛选流程设计为三步：先用实测 `GY` 完成第一轮结果导向筛选，再用关键性状组合判断材料的 agronomic profile 是否均衡，最后结合 `XGBoostRegressor` 的预测结果对边界样本进行复核。对于“实测产量高、性状组合协调、模型预测也较优”的材料，可列为高优先级对象；对于“实测结果突出但性状结构失衡”或“模型预测与实测偏离较大”的材料，则应重点核查其是否受特定 `Season`、`Repetition` 或异常高值观测驱动。这样的决策路径更符合当前数据所揭示的规律，也更有利于把统计结论转化为稳健的育种筛选支持。</w:t>
      </w:r>
    </w:p>
    <w:p>
      <w:pPr>
        <w:pStyle w:val="Heading3"/>
        <w:keepNext/>
      </w:pPr>
      <w:r>
        <w:rPr>
          <w:rFonts w:ascii="Times New Roman" w:hAnsi="Times New Roman" w:eastAsia="Microsoft YaHei"/>
        </w:rPr>
        <w:t>5.2.1 高潜力品种识别思路</w:t>
      </w:r>
    </w:p>
    <w:p>
      <w:pPr/>
      <w:r>
        <w:rPr>
          <w:rFonts w:ascii="Times New Roman" w:hAnsi="Times New Roman" w:eastAsia="Microsoft YaHei"/>
        </w:rPr>
        <w:t>在高潜力品种识别中，`GY` 应作为首要筛选结果，但不宜把任何单一农艺性状直接等同于高产潜力。现有数据包含 320 条记录，基本观测单元为 `Season`—`Cultivar`—`Repetition` 组合，且同时记录了 `PH`、`IFP`、`NLP`、`NGP`、`NGL`、`NS`、`MHG` 等连续性状，这为“以产量为核心、以性状为支撑”的复合筛选提供了直接基础。更合适的做法是先识别 `GY` 表现靠前的 `Cultivar`，再回看其性状结构是否协调，避免仅因单次高产或个别指标异常而将材料误判为优选对象。</w:t>
      </w:r>
    </w:p>
    <w:p>
      <w:pPr/>
      <w:r>
        <w:rPr>
          <w:rFonts w:ascii="Times New Roman" w:hAnsi="Times New Roman" w:eastAsia="Microsoft YaHei"/>
        </w:rPr>
        <w:t>从分布特征看，`GY` 整体近似正态、主要集中在中心区间，两端仅有少量离群值；而 `PH`、`NLP`、`NGP`、`NGL`、`NS` 等指标则更容易出现右偏、长尾或高值离群点。这意味着高潜力材料的识别不能简单理解为“某一性状越高越好”。特别是 `NGP`、`NGL`、`NS` 这类存在高值尾部的指标，虽然可能为高产提供线索，但也可能只是少数组合下的突出表现，因此应结合 `GY` 一并判断，而不是脱离产量结果单独排序。相对而言，`MHG` 分布更接近对称、稳定性更强，可作为辅助观察材料均衡性的参考；`IFP` 虽然整体波动不大，但现有分析并未支持将其作为高产材料的强替代指标。</w:t>
      </w:r>
    </w:p>
    <w:p>
      <w:pPr/>
      <w:r>
        <w:rPr>
          <w:rFonts w:ascii="Times New Roman" w:hAnsi="Times New Roman" w:eastAsia="Microsoft YaHei"/>
        </w:rPr>
        <w:t>基于这一特征，建议将候选品种划分为两个层次进行识别。第一层是以 `GY` 为门槛的高表现材料，即优先保留那些产量结果持续处于较优水平，同时在 `PH`、`NLP`、`NGP`、`NGL`、`NS`、`MHG` 上不存在明显短板的 `Cultivar`。这类材料更适合作为后续区域试验或推广评价的重点对象。第二层是性状储备型材料，即当前 `GY` 未必处于绝对领先，但在 `NGP`、`NGL`、`NS` 等存在高值尾部的指标上表现突出，且并非由单次异常观测驱动。此类材料未必适合立即作为主推品种，却可能在性状改良或亲本选择中具有较高价值。</w:t>
      </w:r>
    </w:p>
    <w:p>
      <w:pPr/>
      <w:r>
        <w:rPr>
          <w:rFonts w:ascii="Times New Roman" w:hAnsi="Times New Roman" w:eastAsia="Microsoft YaHei"/>
        </w:rPr>
        <w:t>在实际判定时，应把稳定性放在与高值同等重要的位置。现有数据中 `Season` 与 `Repetition` 的配置较均衡，说明不同 `Cultivar` 之间具备较好的可比基础，因此高潜力识别不能只看某一季次或某一次重复中的峰值表现，而应优先关注材料在不同 `Season`、不同 `Repetition` 下的相对一致性。如果某个 `Cultivar` 只在个别重复中出现明显偏高的 `GY` 或单项性状极值，而其他观测并未同步支持，则更适合列为待复核对象；相反，若某材料在多次观测中都保持较好的 `GY`，且关键性状波动可控，则其高潜力判断更具可信度。</w:t>
      </w:r>
    </w:p>
    <w:p>
      <w:pPr/>
      <w:r>
        <w:rPr>
          <w:rFonts w:ascii="Times New Roman" w:hAnsi="Times New Roman" w:eastAsia="Microsoft YaHei"/>
        </w:rPr>
        <w:t>建模结果也支持这种复合识别思路。本次以 `GY` 为目标变量的回归比较中，`XGBoostRegressor` 被确认为最优模型，`cv_mae` 为 0.4790（最优）、`cv_r2` 为 0.4390（最优）、`cv_rmse` 为 0.6334（最优），`holdout_mae` 为 0.5204（最优）、`holdout_r2` 为 0.4625（最优）、`holdout_rmse` 为 0.6414（最优）。相比 `LightGBMRegressor` 和 `ElasticNet`，该结果说明 `GY` 与农艺性状、`Cultivar`、分组信息之间更可能存在非线性关系和交互作用。因此，在高潜力品种识别时，更应采用“`GY` 实测结果 + 多性状组合表现 + 品种自身稳定性”的综合判断框架，而不宜依据单一线性经验规则做简单筛选。</w:t>
      </w:r>
    </w:p>
    <w:p>
      <w:pPr/>
      <w:r>
        <w:rPr>
          <w:rFonts w:ascii="Times New Roman" w:hAnsi="Times New Roman" w:eastAsia="Microsoft YaHei"/>
        </w:rPr>
        <w:t>进一步看，预处理后的特征空间中包含大量 `Cultivar_...`、`Season_...` 和 `Repetition_...` 指示变量，说明品种差异及试验分组信息本身就是解释 `GY` 变化的重要组成部分。由此可见，高潜力识别的对象不只是单条高产记录，而是能够在不同试验条件下体现稳定优势的 `Cultivar`。实际应用中，可先按 `Cultivar` 汇总其 `GY` 表现，再同步检查对应性状的分布形态与波动程度，重点排除依赖极端值支撑的材料，优先保留那些产量较好、性状协调且跨季次与跨重复表现稳定的候选品种。</w:t>
      </w:r>
    </w:p>
    <w:p>
      <w:pPr>
        <w:pStyle w:val="Heading3"/>
        <w:keepNext/>
      </w:pPr>
      <w:r>
        <w:rPr>
          <w:rFonts w:ascii="Times New Roman" w:hAnsi="Times New Roman" w:eastAsia="Microsoft YaHei"/>
        </w:rPr>
        <w:t>5.2.2 长尾品种补充评估建议</w:t>
      </w:r>
    </w:p>
    <w:p>
      <w:pPr/>
      <w:r>
        <w:rPr>
          <w:rFonts w:ascii="Times New Roman" w:hAnsi="Times New Roman" w:eastAsia="Microsoft YaHei"/>
        </w:rPr>
        <w:t>对于样本较少的 `Cultivar`，当前结果更适合用作“发现线索”而非“直接定级”依据。已有分析已经表明，品种层面存在长尾结构，而建模阶段又采用了基于 `cultivar`、`season`、`repetition` 复合分组的验证方式，这意味着模型评估本身已经尽量避免把同类组合信息同时泄漏到训练与验证中。在这种更严格的设定下，`XGBoostRegressor` 虽然仍取得了 `cv_r2 = 0.4390（最优）` 和 `holdout_r2 = 0.4625（最优）` 的表现，但这些结果只能说明模型对整体样本具有较好的泛化能力，不能替代对低频 `Cultivar` 的单独业务确认。对长尾品种而言，样本少带来的不确定性通常高于模型给出的单次预测优势，因此不宜仅凭一次建模输出或少量观测记录就将其认定为优选或淘汰对象。</w:t>
      </w:r>
    </w:p>
    <w:p>
      <w:pPr/>
      <w:r>
        <w:rPr>
          <w:rFonts w:ascii="Times New Roman" w:hAnsi="Times New Roman" w:eastAsia="Microsoft YaHei"/>
        </w:rPr>
        <w:t>补充评估时，首先应把“跨 `Season`、跨 `Repetition` 的重复验证”放在优先位置。当前数据的基本观测结构允许从季次和重复两个维度检查材料表现是否稳定，因此对于出现次数较少但 `GY` 或部分性状表现突出的 `Cultivar`，更合理的做法是优先补齐其在不同 `Season` 与不同 `Repetition` 下的观测，而不是继续依赖现有单薄样本作排序判断。如果某一长尾品种只在个别组合中出现高 `GY`，同时缺乏足够的重复支持，则应将其视为待确认材料；只有当其在新增观测中仍能维持相近水平，才更具进入下一轮筛选的依据。</w:t>
      </w:r>
    </w:p>
    <w:p>
      <w:pPr/>
      <w:r>
        <w:rPr>
          <w:rFonts w:ascii="Times New Roman" w:hAnsi="Times New Roman" w:eastAsia="Microsoft YaHei"/>
        </w:rPr>
        <w:t>其次，长尾品种的补充评估不应只围绕 `GY` 单点展开，而应同步核查其性状结构是否一致。前文分析已显示，`PH`、`NLP`、`NGP`、`NGL`、`NS` 等指标更容易出现右偏、长尾或高值离群点，因此低频品种的“亮眼表现”有可能只是由局部极端值驱动。对于这类材料，建议在补测时同时回看其 `PH`、`IFP`、`NLP`、`NGP`、`NGL`、`NS`、`MHG` 的整体协调性：如果 `GY` 较高但多个关键性状波动剧烈，说明其稳定性仍待验证；如果 `GY` 虽未绝对领先，但若干关键性状在新增样本中持续保持较好水平，则仍可保留为后续观察对象或亲本储备对象。</w:t>
      </w:r>
    </w:p>
    <w:p>
      <w:pPr/>
      <w:r>
        <w:rPr>
          <w:rFonts w:ascii="Times New Roman" w:hAnsi="Times New Roman" w:eastAsia="Microsoft YaHei"/>
        </w:rPr>
        <w:t>从模型应用角度看，长尾品种更适合采用“模型辅助预警 + 田间复核确认”的使用方式，而不是直接把预测值当作最终结论。由于当前最优模型为 `XGBoostRegressor`，且其 `cv_mae = 0.4790（最优）`、`holdout_mae = 0.5204（最优）`、`cv_rmse = 0.6334（最优）`、`holdout_rmse = 0.6414（最优）`，说明其在整体误差控制上优于 `LightGBMRegressor` 和 `ElasticNet`，可以优先用于识别值得追加试验资源的低频材料。但在实际决策中，更建议把模型结果用于回答“哪些长尾 `Cultivar` 值得补测”，而不是“哪些长尾 `Cultivar` 已可定论”。尤其当某一品种缺少足够历史观测时，模型输出应与原始田间记录、重复表现和季次一致性联合判断。</w:t>
      </w:r>
    </w:p>
    <w:p>
      <w:pPr/>
      <w:r>
        <w:rPr>
          <w:rFonts w:ascii="Times New Roman" w:hAnsi="Times New Roman" w:eastAsia="Microsoft YaHei"/>
        </w:rPr>
        <w:t>在实施层面，可将长尾 `Cultivar` 分为两类处理。对于当前 `GY` 表现较高、且多项性状没有明显短板的低频品种，建议优先增加重复观测，确认其优势是否可复现；对于 `GY` 暂不突出、但在 `NGP`、`NGL`、`NS` 等性状上表现异常靠前的材料，则更适合作为性状潜力对象继续保留，通过后续季次试验判断其是否能够转化为稳定的产量表现。这样既能避免因样本过少错失潜在优质材料，也能减少把偶然高值误判为真实品种优势的风险。</w:t>
      </w:r>
    </w:p>
    <w:p>
      <w:pPr>
        <w:pStyle w:val="Heading2"/>
        <w:keepNext/>
      </w:pPr>
      <w:r>
        <w:rPr>
          <w:rFonts w:ascii="Times New Roman" w:hAnsi="Times New Roman" w:eastAsia="Microsoft YaHei"/>
        </w:rPr>
        <w:t>5.3 面向试验优化的实施建议</w:t>
      </w:r>
    </w:p>
    <w:p>
      <w:pPr/>
      <w:r>
        <w:rPr>
          <w:rFonts w:ascii="Times New Roman" w:hAnsi="Times New Roman" w:eastAsia="Microsoft YaHei"/>
        </w:rPr>
        <w:t>面向后续田间试验优化，当前数据最直接的启示不是继续增加分析复杂度，而是先把试验组织、字段采集和记录口径进一步做实。现有原始数据共 320 条记录、11 个字段，基本观测单元清晰，为 `Season`—`Cultivar`—`Repetition` 组合；同时，`Season` 与 `Repetition` 的样本分布较为均衡，这说明当前试验框架本身具备较好的比较基础。后续优化应在这一基础上继续保持分层设计的一致性，避免因季次样本失衡、重复缺口或记录口径变化削弱跨季比较和品种判断的可信度。</w:t>
      </w:r>
    </w:p>
    <w:p>
      <w:pPr/>
      <w:r>
        <w:rPr>
          <w:rFonts w:ascii="Times New Roman" w:hAnsi="Times New Roman" w:eastAsia="Microsoft YaHei"/>
        </w:rPr>
        <w:t>从数据采集流程看，首要改进方向是提升字段规范性，减少结构性噪声进入分析链路。预处理阶段已经专门设计了异常表头识别规则，并对误入数据体的表头样式行进行剔除，这说明原始记录在汇总或导出环节存在一定格式风险。对于后续试验，建议将 `Season`、`Cultivar`、`Repetition` 作为强制校验字段，在录入模板中固定列顺序、字段名称与取值格式，避免同一字段出现额外空格、大小写不一致或文本替代数值的情况。尤其是 `Cultivar`，当前已通过去除首尾空格来消除部分命名差异，说明品种名称规范化需要前置到采集端，而不应完全依赖后期清洗修正。若条件允许，可在录入环节采用下拉选择或主数据字典管理，减少同一品种因书写差异被拆分为多个类别的风险。</w:t>
      </w:r>
    </w:p>
    <w:p>
      <w:pPr/>
      <w:r>
        <w:rPr>
          <w:rFonts w:ascii="Times New Roman" w:hAnsi="Times New Roman" w:eastAsia="Microsoft YaHei"/>
        </w:rPr>
        <w:t>其次，建议把数值字段的质控重点放在偏态明显、容易出现高值离群点的指标上。已有分布分析表明，`PH`、`NLP`、`NGP`、`NGL`、`NS` 较容易出现右偏、长尾或高值离群点，而 `GY` 虽整体更接近正态，但两端仍有少量异常观测。对这些字段，后续不宜仅在分析阶段用标准化或建模鲁棒性来被动吸收问题，更应在试验执行时增加原始值复核机制。例如，对明显偏离常规范围的记录，应同步检查对应的 `Season`、`Cultivar`、`Repetition` 组合、原始测量表和现场备注，区分真实优异表现、环境扰动与测量误差。这样既能保留真正有价值的极端样本，也能减少异常记录对品种比较和模型训练的干扰。</w:t>
      </w:r>
    </w:p>
    <w:p>
      <w:pPr/>
      <w:r>
        <w:rPr>
          <w:rFonts w:ascii="Times New Roman" w:hAnsi="Times New Roman" w:eastAsia="Microsoft YaHei"/>
        </w:rPr>
        <w:t>在试验设计层面，后续应继续坚持跨 `Season` 与跨 `Repetition` 的重复验证思路，并优先补强代表性不足的组合。当前数据之所以具有较好的分析基础，一个重要原因在于季次和重复维度相对均衡；但从 `Cultivar` 分布看，品种层面仍存在明显长尾，这意味着部分材料的判断容易受少量观测支配。对于这类材料，建议后续试验不要简单扩充同一条件下的单点观测，而应优先补齐其在不同 `Season`、不同 `Repetition` 下的覆盖，使同一 `Cultivar` 的表现能够在环境变化和重复误差下接受更充分检验。这样得到的结果更适合支持品种筛选、稳定性评价与后续推广决策。</w:t>
      </w:r>
    </w:p>
    <w:p>
      <w:pPr/>
      <w:r>
        <w:rPr>
          <w:rFonts w:ascii="Times New Roman" w:hAnsi="Times New Roman" w:eastAsia="Microsoft YaHei"/>
        </w:rPr>
        <w:t>从建模应用反推试验优化，当前验证设计也给出了明确方向。本次 `GY` 预测采用基于 `cultivar`、`season`、`repetition` 复合分组的验证方式，且 `XGBoostRegressor` 表现最佳，`cv_r2 = 0.4390（最优）`，`holdout_r2 = 0.4625（最优）`。这说明在较严格的分组约束下，现有数据已经包含一定可泛化的信息，但模型能力仍受样本覆盖质量和组合完整度影响。换言之，后续若希望提升模型对 `GY` 的预测稳定性，重点不只是继续更换算法，而是持续提高试验数据的一致性、完整性与分组代表性。特别是对于低频 `Cultivar` 或尾部组合，补充稳定观测往往比单纯增加同质样本更能改善模型学习到的规律。</w:t>
      </w:r>
    </w:p>
    <w:p>
      <w:pPr/>
      <w:r>
        <w:rPr>
          <w:rFonts w:ascii="Times New Roman" w:hAnsi="Times New Roman" w:eastAsia="Microsoft YaHei"/>
        </w:rPr>
        <w:t>最后，建议将试验记录体系从“只满足当季统计”转向“兼顾持续积累与复用”。当前字段结构已经覆盖 `PH`、`IFP`、`NLP`、`NGP`、`NGL`、`NS`、`MHG` 与 `GY` 等核心指标，后续应保持这些关键字段的长期一致定义，避免跨季更改命名、量纲或记录规则，导致历史数据难以直接拼接使用。对于异常值复核、缺失补录、品种命名统一、重复编号一致性等操作，也建议形成固定流程并保留审计痕迹。这样不仅能提高当期试验结论的可信度，也能让后续新季数据更顺畅地接入既有分析与预测框架，使试验体系从一次性评价工具逐步转化为可持续迭代的数据资产。</w:t>
      </w:r>
    </w:p>
    <w:p>
      <w:pPr>
        <w:pStyle w:val="Heading3"/>
        <w:keepNext/>
      </w:pPr>
      <w:r>
        <w:rPr>
          <w:rFonts w:ascii="Times New Roman" w:hAnsi="Times New Roman" w:eastAsia="Microsoft YaHei"/>
        </w:rPr>
        <w:t>5.3.1 字段规范与采集流程优化</w:t>
      </w:r>
    </w:p>
    <w:p>
      <w:pPr/>
      <w:r>
        <w:rPr>
          <w:rFonts w:ascii="Times New Roman" w:hAnsi="Times New Roman" w:eastAsia="Microsoft YaHei"/>
        </w:rPr>
        <w:t>面向后续试验执行，字段规范应优先从采集端前移控制，而不是等到分析阶段再被动清洗。当前原始数据共有 320 条记录、11 个字段，基础结构清晰，但预处理过程中仍需专门识别并剔除误入数据体的表头样式行，说明数据在汇总、复制或导出环节存在格式混入风险。为减少类似问题再次发生，建议将 `Season`、`Cultivar`、`Repetition` 设为录入模板中的强制字段，并固定列顺序、字段名称和填写格式，避免人工调整表头、插入说明行或重复粘贴字段名后直接进入正式数据表。</w:t>
      </w:r>
    </w:p>
    <w:p>
      <w:pPr/>
      <w:r>
        <w:rPr>
          <w:rFonts w:ascii="Times New Roman" w:hAnsi="Times New Roman" w:eastAsia="Microsoft YaHei"/>
        </w:rPr>
        <w:t>针对字段命名一致性，最需要优先规范的是 `Cultivar`。现有预处理已对该字段执行首尾空格去除，说明同一品种名称在采集端存在书写差异被后期修正的情况。若这种差异持续存在，不仅会影响品种频次统计，还会直接干扰后续独热编码结果，使同一材料被拆分成多个类别。更稳妥的做法是为 `Cultivar` 建立固定主数据清单，在录入界面中采用下拉选择、受控词表或编码映射方式，尽量减少自由输入。`Season` 和 `Repetition` 也应采用限定取值，避免把应为分组标识的字段写成混合文本，从源头保证“季次—品种—重复”这一观测单元的唯一性和可追溯性。</w:t>
      </w:r>
    </w:p>
    <w:p>
      <w:pPr/>
      <w:r>
        <w:rPr>
          <w:rFonts w:ascii="Times New Roman" w:hAnsi="Times New Roman" w:eastAsia="Microsoft YaHei"/>
        </w:rPr>
        <w:t>数值字段的采集流程则应强化“录入即校验”的机制。当前数据中除 `Season`、`Cultivar`、`Repetition` 外，其余 `PH`、`IFP`、`NLP`、`NGP`、`NGL`、`NS`、`MHG`、`GY` 均为连续数值字段；预处理阶段虽然可以通过中位数填补、稳健缩放等方式吸收部分噪声，但这类处理更适合建模准备，不应替代原始记录质量控制。已有分析显示，`PH`、`NLP`、`NGP`、`NGL`、`NS` 更容易出现右偏、长尾或高值离群点，`GY` 两端也存在少量异常观测，因此建议在录入系统中为这些字段设置数值格式校验、空值提醒和异常范围复核流程。对于明显偏离常规水平的记录，应要求同步核对原始试验本、测量单位及对应的 `Season`、`Cultivar`、`Repetition` 组合，避免把测量异常、单位误填或错行录入带入后续分析。</w:t>
      </w:r>
    </w:p>
    <w:p>
      <w:pPr/>
      <w:r>
        <w:rPr>
          <w:rFonts w:ascii="Times New Roman" w:hAnsi="Times New Roman" w:eastAsia="Microsoft YaHei"/>
        </w:rPr>
        <w:t>在数据流转层面，还应减少“表格处理型错误”而不仅是“观测值错误”。本次预处理代码专门定义了缺失样式值识别规则，并对疑似表头重复行进行判断，说明历史数据处理中可能混入空字符串、`na`、`n/a`、`null`、`none`、`-`、`unknown` 等非标准缺失表达。后续采集和汇总时，建议统一缺失记录口径，禁止在正式数据单元格中混用多种文本记号；对暂缺、未测和不适用等情况，也应预先设定唯一记录方式。这样既能降低字段类型误判的风险，也能避免原本应为数值型的字段因夹杂文本而被迫转入额外清洗流程。</w:t>
      </w:r>
    </w:p>
    <w:p>
      <w:pPr/>
      <w:r>
        <w:rPr>
          <w:rFonts w:ascii="Times New Roman" w:hAnsi="Times New Roman" w:eastAsia="Microsoft YaHei"/>
        </w:rPr>
        <w:t>考虑到后续建模已基于 `cultivar`、`season`、`repetition` 复合分组开展验证，字段规范化的价值不仅体现在数据整洁，更直接关系到评估结果的可信度。如果 `Cultivar` 命名不统一、`Season` 或 `Repetition` 录入错位，同组样本识别就会被破坏，进而影响分组验证和模型泛化判断。当前 `XGBoostRegressor` 虽在 `GY` 预测上取得了 `cv_r2 = 0.4390（最优）` 和 `holdout_r2 = 0.4625（最优）` 的结果，但这类模型优势成立的前提，是基础字段能够稳定、准确地反映真实试验结构。因此，后续流程优化应把“统一模板、限定取值、异常拦截、复核留痕”作为采集侧的常规动作，使数据质量改进发生在录入之前，而不是依赖分析阶段不断补救。</w:t>
      </w:r>
    </w:p>
    <w:p>
      <w:pPr>
        <w:pStyle w:val="Heading3"/>
        <w:keepNext/>
      </w:pPr>
      <w:r>
        <w:rPr>
          <w:rFonts w:ascii="Times New Roman" w:hAnsi="Times New Roman" w:eastAsia="Microsoft YaHei"/>
        </w:rPr>
        <w:t>5.3.2 重复与季次设计优化</w:t>
      </w:r>
    </w:p>
    <w:p>
      <w:pPr/>
      <w:r>
        <w:rPr>
          <w:rFonts w:ascii="Times New Roman" w:hAnsi="Times New Roman" w:eastAsia="Microsoft YaHei"/>
        </w:rPr>
        <w:t>就当前数据表现而言，后续试验在重复与季次设计上不必推倒重来，而应优先把已经具备优势的均衡框架稳定延续。现有数据共 320 条记录，基本观测单元为 `Season`—`Cultivar`—`Repetition` 组合；从分布结果看，`Season 1` 与 `Season 2` 的样本数量几乎完全一致，4 个 `Repetition` 组的计数也完全一致且均约为 80。这说明当前试验在季次与重复两个核心分层维度上已经具备较好的可比性，后续优化的重点不是单纯增加层次或扩大复杂度，而是确保每一轮试验继续维持这种均衡结构，避免因个别季次减样、重复缺失或补测口径不一致，使跨季比较和品种判断重新受到样本结构偏差干扰。</w:t>
      </w:r>
    </w:p>
    <w:p>
      <w:pPr/>
      <w:r>
        <w:rPr>
          <w:rFonts w:ascii="Times New Roman" w:hAnsi="Times New Roman" w:eastAsia="Microsoft YaHei"/>
        </w:rPr>
        <w:t>在季次设计上，建议继续将 `Season` 作为稳定保留的主分层因素，并尽量保证各季次之间的样本规模、品种覆盖和重复配置保持一致。已有分析表明，`Season` 对解释环境差异和跨季稳定性具有基础作用，而建模阶段也专门将 `season` 纳入复合分组进行分组感知验证，说明这一维度不仅影响描述性比较，也直接关系到模型泛化评估的真实性。如果后续试验在某一季次中临时减少部分 `Cultivar`、改变 `Repetition` 数量，或仅对部分材料开展补测，就会削弱不同季次之间的横向可比性，使“季次差异”与“样本结构差异”相互混杂。更稳妥的做法是预先锁定每季的品种清单、重复数和记录口径，尽量避免中途调整；若确需增补材料，也应与原有设计分开标识，防止其直接混入主比较框架。</w:t>
      </w:r>
    </w:p>
    <w:p>
      <w:pPr/>
      <w:r>
        <w:rPr>
          <w:rFonts w:ascii="Times New Roman" w:hAnsi="Times New Roman" w:eastAsia="Microsoft YaHei"/>
        </w:rPr>
        <w:t>在重复设计上，当前 4 次重复的均衡配置已经显示出较好的规范性，应继续作为后续试验的标准下限执行，而不宜在个别品种或个别季次中随意压缩重复。`Repetition` 的价值不仅在于扩大样本量，更在于吸收田间偶然误差、提高 `GY` 与各农艺性状比较的稳定性。尤其结合前文分布结果可见，`PH`、`NLP`、`NGP`、`NGL`、`NS` 更容易出现右偏、长尾或高值离群点，`GY` 两端也存在少量异常观测；在这类情况下，若重复不足，单个极端值就更容易放大对某一 `Cultivar` 判断的影响。保持每个 `Cultivar` 在每个 `Season` 下拥有完整的 `Repetition 1` 至 `Repetition 4`，比事后依赖标准化、异常值处理或模型鲁棒性来弥补，更能从设计源头提高比较结果的可信度。</w:t>
      </w:r>
    </w:p>
    <w:p>
      <w:pPr/>
      <w:r>
        <w:rPr>
          <w:rFonts w:ascii="Times New Roman" w:hAnsi="Times New Roman" w:eastAsia="Microsoft YaHei"/>
        </w:rPr>
        <w:t>进一步看，重复与季次不应被视为彼此独立的安排，而应作为联合约束来管理。建模阶段采用了基于 `cultivar`、`season`、`repetition` 复合分组的 5 折交叉验证与 80%/20% 留出集检验，这一做法反映出数据中的真实挑战并非单一变量变化，而是不同组合模式下的泛化稳定性。因此，田间试验组织也应尽量保证同一 `Cultivar` 在不同 `Season` 中都具备完整且口径一致的重复观测，使后续既能评估材料在单季中的表现，也能判断其跨季稳定性。若某些材料只在单一 `Season` 中出现，或虽跨季出现但重复配置不齐，就会增加对局部环境和局部重复结果的依赖，使该材料的代表性弱于其他设计完整的材料。</w:t>
      </w:r>
    </w:p>
    <w:p>
      <w:pPr/>
      <w:r>
        <w:rPr>
          <w:rFonts w:ascii="Times New Roman" w:hAnsi="Times New Roman" w:eastAsia="Microsoft YaHei"/>
        </w:rPr>
        <w:t>考虑到当前 `Cultivar` 分布呈现明显长尾，后续设计还应特别关注“季次均衡”与“品种覆盖均衡”之间的同步控制。若仅保证 `Season` 总样本数相近，但不同季次进入比较的 `Cultivar` 组合差异较大，则表面上的季次均衡并不能完全转化为有效的跨季比较。对重点比较材料，建议采用固定清单方式，在每个 `Season` 中保持一致的 `Cultivar` 集合与相同的 `Repetition` 配置；对探索性新增材料，则可作为扩展组单独记录和分析，避免其打破主试验的平衡结构。这样既能保留试验的探索空间，也能确保核心比较对象具备足够的代表性和可重复性。</w:t>
      </w:r>
    </w:p>
    <w:p>
      <w:pPr/>
      <w:r>
        <w:rPr>
          <w:rFonts w:ascii="Times New Roman" w:hAnsi="Times New Roman" w:eastAsia="Microsoft YaHei"/>
        </w:rPr>
        <w:t>从结果应用角度看，当前最优模型 `XGBoostRegressor` 在分组感知评估下仍取得了较好的交叉验证与留出集表现，说明现有设计已经能够支持一定程度的稳定泛化；但这一结论同样提示，模型性能依赖于 `cultivar`、`season`、`repetition` 组合信息的完整性。若后续试验在季次或重复层面出现不规则缺口，模型可学习的结构也会随之变弱。因此，重复与季次设计优化的核心，不是简单追求更多批次或更多重复，而是持续保持平衡、完整、可追溯的分层结构，使品种比较、异常识别和 `GY` 预测都建立在更稳固的试验基础之上。</w:t>
      </w:r>
    </w:p>
    <w:p>
      <w:pPr>
        <w:pStyle w:val="Heading2"/>
        <w:keepNext/>
      </w:pPr>
      <w:r>
        <w:rPr>
          <w:rFonts w:ascii="Times New Roman" w:hAnsi="Times New Roman" w:eastAsia="Microsoft YaHei"/>
        </w:rPr>
        <w:t>5.4 面向实际推广的模型应用展望</w:t>
      </w:r>
    </w:p>
    <w:p>
      <w:pPr/>
      <w:r>
        <w:rPr>
          <w:rFonts w:ascii="Times New Roman" w:hAnsi="Times New Roman" w:eastAsia="Microsoft YaHei"/>
        </w:rPr>
        <w:t>从现有结果看，`GY` 预测模型已经具备由分析工具向业务辅助工具过渡的基础条件。特别是 `XGBoostRegressor` 在当前比较中表现最优，交叉验证 `MAE` 为 0.4790（最优）、`R²` 为 0.4390（最优）、`RMSE` 为 0.6334（最优），留出集 `MAE` 为 0.5204（最优）、`R²` 为 0.4625（最优）、`RMSE` 为 0.6414（最优）；相较之下，`LightGBMRegressor` 与 `ElasticNet` 的解释力明显偏弱。这意味着在当前 320 个样本、53 个特征的条件下，基于非线性关系与交互结构的树模型更适合承担实际推广中的产量预估任务，也更适合作为品种筛选、试验复核和资源配置中的辅助判断工具。</w:t>
      </w:r>
    </w:p>
    <w:p>
      <w:pPr/>
      <w:r>
        <w:rPr>
          <w:rFonts w:ascii="Times New Roman" w:hAnsi="Times New Roman" w:eastAsia="Microsoft YaHei"/>
        </w:rPr>
        <w:t>在实际使用场景中，该模型更适合定位为“早期预警与排序支持”系统，而不是对 `GY` 的单点替代判断。一方面，分组感知验证已按 `cultivar`、`season`、`repetition` 复合分组实施，模型评估相对贴近真实泛化情形，因此可用于比较不同样本组合下的相对产量表现；另一方面，留出集 `R²` 为 0.4625，说明模型已经具有一定解释能力，但仍不足以脱离田间观测和业务复核独立决策。更稳妥的落地方式，是将模型输出用于识别高潜力材料、提前发现低于预期的试验组合，并为后续复测、资源倾斜或推广顺序提供优先级参考。</w:t>
      </w:r>
    </w:p>
    <w:p>
      <w:pPr/>
      <w:r>
        <w:rPr>
          <w:rFonts w:ascii="Times New Roman" w:hAnsi="Times New Roman" w:eastAsia="Microsoft YaHei"/>
        </w:rPr>
        <w:t>结合现有特征工程流程，模型具备嵌入常规数据链路的可操作性。当前方案已经完成目标列整理、缺失值填补、类别信息展开和分组约束评估，`Cultivar_...`、`Season_...`、`Repetition_...` 等指示变量也已进入训练过程，这说明只要后续试验继续保持字段结构稳定、命名规范一致，就可以沿用相同的数据处理框架持续生成预测结果。对业务部门而言，这种可复用性比一次性的离线建模更重要，因为它决定了模型能否在新季数据到来后快速更新，而不需要每轮都重新组织复杂的数据清洗工作。</w:t>
      </w:r>
    </w:p>
    <w:p>
      <w:pPr/>
      <w:r>
        <w:rPr>
          <w:rFonts w:ascii="Times New Roman" w:hAnsi="Times New Roman" w:eastAsia="Microsoft YaHei"/>
        </w:rPr>
        <w:t>模型推广的前提是把使用边界说清楚。首先，当前最优模型虽优于其他候选方案，但其能力仍建立在现有样本覆盖范围之上，尤其验证方式对未见组合模式较为严格，因此模型输出更适合在与现有试验结构相近的场景中使用。其次，建模材料中已提示，部分农艺变量虽然有助于预测，但在业务时点上仍需继续核查潜在信息泄漏风险。也就是说，若某些字段只能在接近收获甚至收获后获得，那么它们更适合用于研究型评估，而不宜直接作为生产早期决策输入。实际部署时应按使用时点重构输入特征，区分“前期可获得变量”和“后期复盘变量”，以保证预测结果在业务流程中真正可执行。</w:t>
      </w:r>
    </w:p>
    <w:p>
      <w:pPr/>
      <w:r>
        <w:rPr>
          <w:rFonts w:ascii="Times New Roman" w:hAnsi="Times New Roman" w:eastAsia="Microsoft YaHei"/>
        </w:rPr>
        <w:t>从长期运行角度看，模型不应被视为一次性结论，而应作为随试验数据滚动迭代的监测机制持续维护。当前建模已采用 5 折分组交叉验证和 80%/20% 留出集检验，这为后续建立固定更新制度提供了良好基础。每新增一个 `Season` 的正式数据，都可以在相同验证口径下重新评估 `XGBoostRegressor` 的 `RMSE`、`MAE` 与 `R²` 是否保持稳定，并同步观察其相对于 `LightGBMRegressor`、`ElasticNet` 的优势是否持续存在。若未来样本规模扩大、品种结构变化或新特征加入后模型排序发生变化，再据此调整主用模型，会比一次性锁定算法更符合实际推广需要。</w:t>
      </w:r>
    </w:p>
    <w:p>
      <w:pPr/>
      <w:r>
        <w:rPr>
          <w:rFonts w:ascii="Times New Roman" w:hAnsi="Times New Roman" w:eastAsia="Microsoft YaHei"/>
        </w:rPr>
        <w:t>因此，现阶段更可行的推进路径，是先将 `XGBoostRegressor` 作为核心候选方案纳入试验管理和品种评价的辅助环节，在稳定积累新季样本的同时持续复核其泛化表现。只要数据采集口径、`Season`—`Cultivar`—`Repetition` 结构以及预处理流程保持一致，该模型就有望逐步从报告中的最优结果转化为可复用的业务工具，并在品种推荐、试验异常识别和产量趋势判断中形成稳定支持。</w:t>
      </w:r>
    </w:p>
    <w:p>
      <w:pPr>
        <w:pStyle w:val="Heading3"/>
        <w:keepNext/>
      </w:pPr>
      <w:r>
        <w:rPr>
          <w:rFonts w:ascii="Times New Roman" w:hAnsi="Times New Roman" w:eastAsia="Microsoft YaHei"/>
        </w:rPr>
        <w:t>5.4.1 GY预测在生产决策中的应用</w:t>
      </w:r>
    </w:p>
    <w:p>
      <w:pPr/>
      <w:r>
        <w:rPr>
          <w:rFonts w:ascii="Times New Roman" w:hAnsi="Times New Roman" w:eastAsia="Microsoft YaHei"/>
        </w:rPr>
        <w:t>在生产决策场景中，`GY` 预测更适合作为“辅助判断前移”的工具，而不是对田间结果的直接替代。现有建模结果表明，`XGBoostRegressor` 是当前最优方案，交叉验证 `MAE` 为 0.4790（最优）、`R²` 为 0.4390（最优）、`RMSE` 为 0.6334（最优），留出集 `MAE` 为 0.5204（最优）、`R²` 为 0.4625（最优）、`RMSE` 为 0.6414（最优）。这一表现说明模型已经能够在一定程度上刻画 `GY` 与多项农艺性状、`Cultivar`、`Season`、`Repetition` 相关信息之间的关系，因此可用于支持服务品种推荐与产量预估中的排序、预警和初筛工作。</w:t>
      </w:r>
    </w:p>
    <w:p>
      <w:pPr/>
      <w:r>
        <w:rPr>
          <w:rFonts w:ascii="Times New Roman" w:hAnsi="Times New Roman" w:eastAsia="Microsoft YaHei"/>
        </w:rPr>
        <w:t>用于品种推荐时，模型最直接的价值不在于给出单一“入选/淘汰”结论，而在于帮助业务人员更早识别高潜力材料与低于预期的组合。由于当前评估采用了基于 `cultivar`、`season`、`repetition` 复合分组的分组感知交叉验证与 80%/20% 留出检验，模型结果比普通随机切分更接近真实应用情形，因此更适合比较不同样本组合之间的相对产量水平。在实际流程中，可以将预测结果作为候选品种的优先级线索：对预测值持续靠前的材料优先安排复核、展示或资源倾斜；对预测值显著偏低但田间观察又存在潜力信号的材料，则纳入重点复测名单，以避免仅凭单次观测作出过早判断。</w:t>
      </w:r>
    </w:p>
    <w:p>
      <w:pPr/>
      <w:r>
        <w:rPr>
          <w:rFonts w:ascii="Times New Roman" w:hAnsi="Times New Roman" w:eastAsia="Microsoft YaHei"/>
        </w:rPr>
        <w:t>用于产量预估时，当前模型具备形成“区间内参考值”和“相对水平判断”的能力，但还不宜被当作精确替代田间测产的单点工具。留出集 `R²` 为 0.4625（最优），说明模型已有一定解释力，但仍有相当部分波动未被完全解释。因此，更合理的落地方式是把模型输出嵌入生产管理中的前置环节，例如在试验中期或数据汇总初期，用于判断某一 `Cultivar` 在特定 `Season` 和 `Repetition` 条件下是否大致符合预期水平，是否需要提前准备追加观测、复核记录或调整资源投入。这样既能发挥模型在早期信息整合上的效率优势，也能避免把预测值误用为最终产量结论。</w:t>
      </w:r>
    </w:p>
    <w:p>
      <w:pPr/>
      <w:r>
        <w:rPr>
          <w:rFonts w:ascii="Times New Roman" w:hAnsi="Times New Roman" w:eastAsia="Microsoft YaHei"/>
        </w:rPr>
        <w:t>从部署可行性看，当前方案已经具备接入常规数据流程的基础。建模中已完成目标列 `GY` 的整理、缺失值填补、类型处理、类别信息展开和分组约束评估，且 `Cultivar_...`、`Season_...`、`Repetition_...` 等指示变量已经进入训练过程。这意味着只要后续试验继续保持字段结构稳定、命名一致、采集口径统一，就可以沿用同一套处理逻辑持续生成预测结果。对业务部门而言，这种可复用的数据链路能够把模型从一次性分析成果转化为周期性决策支持工具，用于服务品种比较、异常组合识别和阶段性产量预估。</w:t>
      </w:r>
    </w:p>
    <w:p>
      <w:pPr/>
      <w:r>
        <w:rPr>
          <w:rFonts w:ascii="Times New Roman" w:hAnsi="Times New Roman" w:eastAsia="Microsoft YaHei"/>
        </w:rPr>
        <w:t>需要同时强调的是，当前模型更适合支持“相对决策”，不适合脱离业务复核单独运行。对比模型结果可见，`LightGBMRegressor` 的交叉验证 `R²` 为 -0.0845、留出集 `R²` 为 0.0019，`ElasticNet` 的交叉验证 `R²` 为 -0.0152、留出集 `R²` 为 -0.0006，均明显弱于 `XGBoostRegressor`。这表明当前 `GY` 预测问题对非线性关系和交互结构更敏感，也说明现阶段最优模型虽已具备应用价值，但其判断仍应与田间观测、试验记录和专家经验联合使用。放到生产决策中，更稳妥的方式是将模型作为“先筛一遍、优先处理、及时预警”的工具层，而将最终推荐、推广和测产确认保留在综合研判流程中。</w:t>
      </w:r>
    </w:p>
    <w:p>
      <w:pPr>
        <w:pStyle w:val="Heading3"/>
        <w:keepNext/>
      </w:pPr>
      <w:r>
        <w:rPr>
          <w:rFonts w:ascii="Times New Roman" w:hAnsi="Times New Roman" w:eastAsia="Microsoft YaHei"/>
        </w:rPr>
        <w:t>5.4.2 模型持续迭代与监测机制</w:t>
      </w:r>
    </w:p>
    <w:p>
      <w:pPr/>
      <w:r>
        <w:rPr>
          <w:rFonts w:ascii="Times New Roman" w:hAnsi="Times New Roman" w:eastAsia="Microsoft YaHei"/>
        </w:rPr>
        <w:t>模型进入实际使用后，不应停留在一次性建模结果上，而应建立随新季数据同步更新的迭代机制。当前 `XGBoostRegressor` 是已有证据下的最优方案，交叉验证 `MAE` 为 0.4790（最优）、`R²` 为 0.4390（最优）、`RMSE` 为 0.6334（最优），留出集 `MAE` 为 0.5204（最优）、`R²` 为 0.4625（最优）、`RMSE` 为 0.6414（最优）。这说明现阶段模型具备持续复用的基础，但其有效性仍依赖后续 `Season` 扩充后是否还能保持相近的误差水平与解释能力。因此，后续每获得新季试验数据，都应在保持字段结构一致的前提下，按既有流程完成目标列整理、缺失值处理、类别信息展开，并将新增样本纳入统一训练与再评估流程，而不是仅沿用旧模型长期外推。</w:t>
      </w:r>
    </w:p>
    <w:p>
      <w:pPr/>
      <w:r>
        <w:rPr>
          <w:rFonts w:ascii="Times New Roman" w:hAnsi="Times New Roman" w:eastAsia="Microsoft YaHei"/>
        </w:rPr>
        <w:t>迭代更新时，建议继续保留当前的分组感知评估框架。现有验证方式以 `cultivar`、`season`、`repetition` 形成复合分组，并采用 5 折交叉验证与 80%/20% 留出检验，这一设计更接近真实推广场景，也更适合用于监测模型在新组合模式上的泛化能力。随着新季数据进入，监测重点不应只放在单次预测结果本身，更应持续比较 `cv_mae`、`cv_r2`、`cv_rmse` 以及 `holdout_mae`、`holdout_r2`、`holdout_rmse` 是否出现系统性恶化。若 `XGBoostRegressor` 仍能保持相对领先，则可继续作为主模型；若新增数据后其优势缩小，或其他候选模型在同一评估口径下表现改善，则应重新开展模型比较，而不是默认当前最优结论永久成立。</w:t>
      </w:r>
    </w:p>
    <w:p>
      <w:pPr/>
      <w:r>
        <w:rPr>
          <w:rFonts w:ascii="Times New Roman" w:hAnsi="Times New Roman" w:eastAsia="Microsoft YaHei"/>
        </w:rPr>
        <w:t>持续监测还应覆盖数据链路本身的稳定性。现有建模依赖 `Cultivar_...`、`Season_...`、`Repetition_...` 等已展开特征，以及布尔型转换、类别缺失填补和数值中位数填补等预处理规则，因此后续迭代必须优先检查字段命名、类型口径和缺失处理逻辑是否与当前方案一致。只要数据结构发生漂移，例如新增类别未被规范编码、关键字段命名不一致，或部分列的缺失模式明显变化，即使模型主体仍为 `XGBoostRegressor`，其输出也可能失去与历史结果的可比性。对业务应用而言，稳定的数据口径与稳定的评估口径同等重要，它们决定了模型分数变化究竟来自真实样本变化，还是来自数据处理流程的改变。</w:t>
      </w:r>
    </w:p>
    <w:p>
      <w:pPr/>
      <w:r>
        <w:rPr>
          <w:rFonts w:ascii="Times New Roman" w:hAnsi="Times New Roman" w:eastAsia="Microsoft YaHei"/>
        </w:rPr>
        <w:t>从应用管理角度看，较稳妥的机制是将模型更新分为“常规重训”和“异常复核”两类：当新季数据按既定结构正常累积时，按固定周期重训并复算全部指标；当留出集表现明显弱化，或分组验证结果显示对新 `season`、新 `cultivar` 组合的适应性下降时，再启动针对性的复核，包括检查预处理口径、重新比较 `LightGBMRegressor`、`XGBoostRegressor` 与 `ElasticNet`，并核查是否存在潜在信息泄漏风险。这样可以使模型从一次性的分析成果，逐步转变为可被追踪、可被校验、可随试验积累不断修正的业务工具。</w:t>
      </w:r>
    </w:p>
    <w:sectPr w:rsidR="00FC693F" w:rsidRPr="0006063C" w:rsidSect="00034616">
      <w:pgSz w:w="12240" w:h="15840"/>
      <w:pgMar w:top="1296" w:right="1368" w:bottom="1296"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160"/>
    </w:pPr>
    <w:rPr>
      <w:rFonts w:ascii="Times New Roman" w:hAnsi="Times New Roman" w:eastAsia="Microsoft YaHe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Times New Roman" w:hAnsi="Times New Roman" w:eastAsia="Microsoft YaHei"/>
      <w:b/>
      <w:bCs/>
      <w:color w:val="111827"/>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Times New Roman" w:hAnsi="Times New Roman" w:eastAsia="Microsoft YaHei"/>
      <w:b/>
      <w:bCs/>
      <w:color w:val="111827"/>
      <w:sz w:val="30"/>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Times New Roman" w:hAnsi="Times New Roman" w:eastAsia="Microsoft YaHei"/>
      <w:b/>
      <w:bCs/>
      <w:color w:val="111827"/>
      <w:sz w:val="26"/>
    </w:rPr>
  </w:style>
  <w:style w:type="paragraph" w:styleId="Heading4">
    <w:name w:val="heading 4"/>
    <w:basedOn w:val="Normal"/>
    <w:next w:val="Normal"/>
    <w:link w:val="Heading4Char"/>
    <w:uiPriority w:val="9"/>
    <w:semiHidden/>
    <w:unhideWhenUsed/>
    <w:qFormat/>
    <w:rsid w:val="00FC693F"/>
    <w:pPr>
      <w:keepNext/>
      <w:keepLines/>
      <w:spacing w:before="280" w:after="120"/>
      <w:outlineLvl w:val="3"/>
    </w:pPr>
    <w:rPr>
      <w:rFonts w:asciiTheme="majorHAnsi" w:eastAsiaTheme="majorEastAsia" w:hAnsiTheme="majorHAnsi" w:cstheme="majorBidi" w:ascii="Times New Roman" w:hAnsi="Times New Roman" w:eastAsia="Microsoft YaHei"/>
      <w:b/>
      <w:bCs/>
      <w:i/>
      <w:iCs/>
      <w:color w:val="111827"/>
      <w:sz w:val="24"/>
    </w:rPr>
  </w:style>
  <w:style w:type="paragraph" w:styleId="Heading5">
    <w:name w:val="heading 5"/>
    <w:basedOn w:val="Normal"/>
    <w:next w:val="Normal"/>
    <w:link w:val="Heading5Char"/>
    <w:uiPriority w:val="9"/>
    <w:semiHidden/>
    <w:unhideWhenUsed/>
    <w:qFormat/>
    <w:rsid w:val="00FC693F"/>
    <w:pPr>
      <w:keepNext/>
      <w:keepLines/>
      <w:spacing w:before="280" w:after="120"/>
      <w:outlineLvl w:val="4"/>
    </w:pPr>
    <w:rPr>
      <w:rFonts w:asciiTheme="majorHAnsi" w:eastAsiaTheme="majorEastAsia" w:hAnsiTheme="majorHAnsi" w:cstheme="majorBidi" w:ascii="Times New Roman" w:hAnsi="Times New Roman" w:eastAsia="Microsoft YaHei"/>
      <w:b/>
      <w:color w:val="111827"/>
      <w:sz w:val="22"/>
    </w:rPr>
  </w:style>
  <w:style w:type="paragraph" w:styleId="Heading6">
    <w:name w:val="heading 6"/>
    <w:basedOn w:val="Normal"/>
    <w:next w:val="Normal"/>
    <w:link w:val="Heading6Char"/>
    <w:uiPriority w:val="9"/>
    <w:semiHidden/>
    <w:unhideWhenUsed/>
    <w:qFormat/>
    <w:rsid w:val="00FC693F"/>
    <w:pPr>
      <w:keepNext/>
      <w:keepLines/>
      <w:spacing w:before="280" w:after="120"/>
      <w:outlineLvl w:val="5"/>
    </w:pPr>
    <w:rPr>
      <w:rFonts w:asciiTheme="majorHAnsi" w:eastAsiaTheme="majorEastAsia" w:hAnsiTheme="majorHAnsi" w:cstheme="majorBidi" w:ascii="Times New Roman" w:hAnsi="Times New Roman" w:eastAsia="Microsoft YaHei"/>
      <w:b/>
      <w:i/>
      <w:iCs/>
      <w:color w:val="111827"/>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60" w:line="240" w:lineRule="auto" w:before="0"/>
      <w:contextualSpacing/>
      <w:jc w:val="left"/>
    </w:pPr>
    <w:rPr>
      <w:rFonts w:asciiTheme="majorHAnsi" w:eastAsiaTheme="majorEastAsia" w:hAnsiTheme="majorHAnsi" w:cstheme="majorBidi" w:ascii="Times New Roman" w:hAnsi="Times New Roman" w:eastAsia="Microsoft YaHei"/>
      <w:b/>
      <w:color w:val="11182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324" w:lineRule="auto" w:after="80"/>
      <w:contextualSpacing/>
    </w:pPr>
    <w:rPr>
      <w:rFonts w:ascii="Times New Roman" w:hAnsi="Times New Roman" w:eastAsia="Microsoft YaHei"/>
      <w:color w:val="1F293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324" w:lineRule="auto" w:after="80"/>
      <w:contextualSpacing/>
    </w:pPr>
    <w:rPr>
      <w:rFonts w:ascii="Times New Roman" w:hAnsi="Times New Roman" w:eastAsia="Microsoft YaHei"/>
      <w:color w:val="1F293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tGPTCode">
    <w:name w:val="ChatGPT Code"/>
    <w:basedOn w:val="Normal"/>
    <w:pPr>
      <w:spacing w:line="276" w:lineRule="auto" w:before="120" w:after="120"/>
      <w:ind w:left="288" w:right="72"/>
    </w:pPr>
    <w:rPr>
      <w:rFonts w:ascii="Consolas" w:hAnsi="Consolas" w:eastAsia="Consolas"/>
      <w:color w:val="1F2937"/>
      <w:sz w:val="19"/>
    </w:rPr>
  </w:style>
  <w:style w:type="paragraph" w:customStyle="1" w:styleId="ChatGPTQuote">
    <w:name w:val="ChatGPT Quote"/>
    <w:basedOn w:val="Normal"/>
    <w:pPr>
      <w:spacing w:line="324" w:lineRule="auto" w:before="120" w:after="120"/>
      <w:ind w:left="360" w:right="72"/>
    </w:pPr>
    <w:rPr>
      <w:rFonts w:ascii="Times New Roman" w:hAnsi="Times New Roman" w:eastAsia="Microsoft YaHei"/>
      <w:i/>
      <w:color w:val="6B7280"/>
      <w:sz w:val="21"/>
    </w:rPr>
  </w:style>
  <w:style w:type="paragraph" w:customStyle="1" w:styleId="ChatGPTCaption">
    <w:name w:val="ChatGPT Caption"/>
    <w:basedOn w:val="Normal"/>
    <w:pPr>
      <w:spacing w:line="288" w:lineRule="auto" w:before="0" w:after="200"/>
      <w:jc w:val="center"/>
    </w:pPr>
    <w:rPr>
      <w:rFonts w:ascii="Times New Roman" w:hAnsi="Times New Roman" w:eastAsia="Microsoft YaHei"/>
      <w:i/>
      <w:color w:val="6B7280"/>
      <w:sz w:val="19"/>
    </w:rPr>
  </w:style>
  <w:style w:type="paragraph" w:customStyle="1" w:styleId="ChatGPTTableTitle">
    <w:name w:val="ChatGPT Table Title"/>
    <w:basedOn w:val="Normal"/>
    <w:pPr>
      <w:spacing w:line="288" w:lineRule="auto" w:before="120" w:after="120"/>
      <w:jc w:val="center"/>
    </w:pPr>
    <w:rPr>
      <w:rFonts w:ascii="Times New Roman" w:hAnsi="Times New Roman" w:eastAsia="Microsoft YaHei"/>
      <w:color w:val="1F2937"/>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image" Target="media/image40.png"/><Relationship Id="rId49" Type="http://schemas.openxmlformats.org/officeDocument/2006/relationships/image" Target="media/image41.png"/><Relationship Id="rId50" Type="http://schemas.openxmlformats.org/officeDocument/2006/relationships/image" Target="media/image42.png"/><Relationship Id="rId51" Type="http://schemas.openxmlformats.org/officeDocument/2006/relationships/image" Target="media/image43.png"/><Relationship Id="rId52"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