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keepNext/>
        <w:spacing w:after="240"/>
        <w:pBdr>
          <w:bottom w:val="single" w:sz="12" w:space="1" w:color="5B7DB1"/>
        </w:pBdr>
      </w:pPr>
      <w:r>
        <w:rPr>
          <w:rFonts w:ascii="Times New Roman" w:hAnsi="Times New Roman" w:eastAsia="Microsoft YaHei"/>
        </w:rPr>
        <w:t>葡萄酒三分类特征分析与模型识别结果</w:t>
      </w:r>
    </w:p>
    <w:p>
      <w:pPr>
        <w:pStyle w:val="Heading1"/>
        <w:keepNext/>
      </w:pPr>
      <w:r>
        <w:rPr>
          <w:rFonts w:ascii="Times New Roman" w:hAnsi="Times New Roman" w:eastAsia="Microsoft YaHei"/>
        </w:rPr>
        <w:t>1 数据加载与结构梳理</w:t>
      </w:r>
    </w:p>
    <w:p>
      <w:pPr/>
      <w:r>
        <w:rPr>
          <w:rFonts w:ascii="Times New Roman" w:hAnsi="Times New Roman" w:eastAsia="Microsoft YaHei"/>
        </w:rPr>
        <w:t>导入后的葡萄酒样本数据为单一表格结构，共 178 行、14 列，且全部字段均为数值型变量，其中 3 个字段为整数型、11 个字段为浮点型，未出现文本字段或混合类型字段。这样的数据形态说明样本已经以较规范的结构化形式存储，适合直接用于后续的分类分析与指标比较。</w:t>
      </w:r>
    </w:p>
    <w:p>
      <w:pPr/>
      <w:r>
        <w:rPr>
          <w:rFonts w:ascii="Times New Roman" w:hAnsi="Times New Roman" w:eastAsia="Microsoft YaHei"/>
        </w:rPr>
        <w:t>从字段构成看，`class` 是类别标识字段，其余 13 个字段均为葡萄酒的理化指标，涵盖基础化学成分、酸碱与矿物相关指标、酚类物质指标以及颜色和综合色泽相关指标。具体而言，`alcohol`、`malic_acid`、`ash`、`alcalinity_of_ash`、`magnesium`、`total_phenols`、`flavanoids`、`nonflavanoid_phenols`、`proanthocyanins`、`color_intensity`、`hue`、`od280_od315_of_diluted_wines` 和 `proline` 共同构成了样本的数值特征空间，能够从不同维度刻画葡萄酒的组成差异。</w:t>
      </w:r>
    </w:p>
    <w:p>
      <w:pPr/>
      <w:r>
        <w:rPr>
          <w:rFonts w:ascii="Times New Roman" w:hAnsi="Times New Roman" w:eastAsia="Microsoft YaHei"/>
        </w:rPr>
        <w:t>结合前五条样本可以看到，`class` 均为 1，说明当前展示的记录来自同一类别；各指标在数值上呈现出较明显的变化范围，例如 `alcohol` 约在 13.16 到 14.37 之间，`magnesium` 介于 100 到 127 之间，`proline` 介于 735 到 1480 之间，反映出不同字段的量纲和波动幅度并不一致。与此同时，前五条记录中未见空值，说明样本在导入阶段表现出较好的完整性和整洁性。</w:t>
      </w:r>
    </w:p>
    <w:p>
      <w:pPr/>
      <w:r>
        <w:rPr>
          <w:rFonts w:ascii="Times New Roman" w:hAnsi="Times New Roman" w:eastAsia="Microsoft YaHei"/>
        </w:rPr>
        <w:t>就变量含义而言，`class` 适合作为目标变量或分组变量，其余字段则可作为解释变量使用。其中，`alcohol`、`malic_acid`、`ash` 反映酒的基础成分特征；`alcalinity_of_ash` 和 `magnesium` 描述酸碱与矿物质属性；`total_phenols`、`flavanoids`、`nonflavanoid_phenols`、`proanthocyanins` 属于酚类相关指标，通常能够反映样本在风味和品质成分上的差异；`color_intensity`、`hue`、`od280_od315_of_diluted_wines` 则与颜色表现和综合色泽相关。整体来看，这组字段具有明确的理化解释，能够支撑后续对不同类别葡萄酒样本的结构识别与特征分析。</w:t>
      </w:r>
    </w:p>
    <w:p>
      <w:pPr>
        <w:pStyle w:val="Heading2"/>
        <w:keepNext/>
      </w:pPr>
      <w:r>
        <w:rPr>
          <w:rFonts w:ascii="Times New Roman" w:hAnsi="Times New Roman" w:eastAsia="Microsoft YaHei"/>
        </w:rPr>
        <w:t>1.1 数据概览</w:t>
      </w:r>
    </w:p>
    <w:p>
      <w:pPr/>
      <w:r>
        <w:rPr>
          <w:rFonts w:ascii="Times New Roman" w:hAnsi="Times New Roman" w:eastAsia="Microsoft YaHei"/>
        </w:rPr>
        <w:t>该葡萄酒样本数据共有 178 行、14 列，整体为单一表格型结构，字段全部是数值型变量，其中 `class` 为类别标识，其余 13 个字段均为葡萄酒理化指标。就数据类型而言，当前数据包含 3 个整数型字段和 11 个浮点型字段，说明样本已经以较规范的结构化形式完成存储，便于直接开展后续的分类分析和指标比较。</w:t>
      </w:r>
    </w:p>
    <w:p>
      <w:pPr/>
      <w:r>
        <w:rPr>
          <w:rFonts w:ascii="Times New Roman" w:hAnsi="Times New Roman" w:eastAsia="Microsoft YaHei"/>
        </w:rPr>
        <w:t>从字段构成看，`class` 作为分组标签，用于区分样本类别；其余变量则共同描述葡萄酒的组成特征，覆盖基础化学成分、酸碱与矿物相关指标、酚类物质指标，以及颜色和综合色泽相关指标。具体字段包括 `alcohol`、`malic_acid`、`ash`、`alcalinity_of_ash`、`magnesium`、`total_phenols`、`flavanoids`、`nonflavanoid_phenols`、`proanthocyanins`、`color_intensity`、`hue`、`od280_od315_of_diluted_wines` 和 `proline`，它们从不同维度刻画了样本的理化差异。</w:t>
      </w:r>
    </w:p>
    <w:p>
      <w:pPr/>
      <w:r>
        <w:rPr>
          <w:rFonts w:ascii="Times New Roman" w:hAnsi="Times New Roman" w:eastAsia="Microsoft YaHei"/>
        </w:rPr>
        <w:t>结合前五条样本可以看到，`class` 均为 1，说明当前展示的记录来自同一类别；同时，各指标的取值范围存在明显差异，例如 `alcohol` 约在 13.16 到 14.37 之间，`magnesium` 介于 100 到 127 之间，`proline` 介于 735 到 1480 之间。这表明不同字段的量纲和波动幅度并不一致，后续在进行类别比较或建模分析时，需要特别关注变量尺度差异带来的影响。与此同时，前五条记录中未见空值，样本整体完整性较好，数据形态也较为整洁。</w:t>
      </w:r>
    </w:p>
    <w:p>
      <w:pPr/>
      <w:r>
        <w:rPr>
          <w:rFonts w:ascii="Times New Roman" w:hAnsi="Times New Roman" w:eastAsia="Microsoft YaHei"/>
        </w:rPr>
        <w:t>从分析角度看，`class` 适合作为目标变量或分组变量，其余字段则可作为解释变量使用，用于观察不同葡萄酒样本在理化指标上的分布与差异。当前数据在结构、类型和完整性方面都较为清晰，已经具备进一步开展类别分布分析、特征对比和模型构建的基础。</w:t>
      </w:r>
    </w:p>
    <w:p>
      <w:pPr>
        <w:pStyle w:val="Heading2"/>
        <w:keepNext/>
      </w:pPr>
      <w:r>
        <w:rPr>
          <w:rFonts w:ascii="Times New Roman" w:hAnsi="Times New Roman" w:eastAsia="Microsoft YaHei"/>
        </w:rPr>
        <w:t>1.2 指标含义识别</w:t>
      </w:r>
    </w:p>
    <w:p>
      <w:pPr/>
      <w:r>
        <w:rPr>
          <w:rFonts w:ascii="Times New Roman" w:hAnsi="Times New Roman" w:eastAsia="Microsoft YaHei"/>
        </w:rPr>
        <w:t>从字段命名和数据结构来看，这是一组葡萄酒理化特征数据，其中 `class` 为类别标识字段，用于区分样本所属的三类标签，其余 13 个字段则用于描述样本的化学组成与风味相关特征。当前数据全部为数值型变量，且以 `float64` 指标为主，`class`、`magnesium` 和 `proline` 为整数型字段，说明样本已具备较清晰的结构化表达形式，适合直接用于分类分析中的标签识别与变量解释。</w:t>
      </w:r>
    </w:p>
    <w:p>
      <w:pPr/>
      <w:r>
        <w:rPr>
          <w:rFonts w:ascii="Times New Roman" w:hAnsi="Times New Roman" w:eastAsia="Microsoft YaHei"/>
        </w:rPr>
        <w:t>就变量含义而言，`class` 应作为目标变量或分组变量理解，其余字段可作为解释变量使用。其中，`alcohol`、`malic_acid`、`ash` 反映酒体基础成分特征；`alcalinity_of_ash` 与 `magnesium` 描述酸碱和矿物质属性；`total_phenols`、`flavanoids`、`nonflavanoid_phenols`、`proanthocyanins` 则共同刻画酚类物质相关信息；`color_intensity`、`hue`、`od280_od315_of_diluted_wines` 和 `proline` 则进一步补充了颜色、综合色泽及成分差异的表征。各字段从不同维度反映葡萄酒样本之间的理化差异，为后续比较不同类别样本的指标分布提供了基础。</w:t>
      </w:r>
    </w:p>
    <w:p>
      <w:pPr/>
      <w:r>
        <w:rPr>
          <w:rFonts w:ascii="Times New Roman" w:hAnsi="Times New Roman" w:eastAsia="Microsoft YaHei"/>
        </w:rPr>
        <w:t>结合前五条样本可以看到，`class` 均为 1，说明当前展示记录来自同一类别；同时，各指标在数值上存在明显波动，例如 `alcohol` 约在 13.16 到 14.37 之间，`magnesium` 介于 100 到 127 之间，`proline` 介于 735 到 1480 之间，表明不同变量的量纲和取值范围并不一致。与此同时，前五条记录未见空值，样本整体完整性较好，数据形态也较为整洁，这为后续识别指标含义、比较类别差异以及开展建模分析提供了可靠的数据基础。</w:t>
      </w:r>
    </w:p>
    <w:p>
      <w:pPr>
        <w:pStyle w:val="Heading1"/>
        <w:keepNext/>
      </w:pPr>
      <w:r>
        <w:rPr>
          <w:rFonts w:ascii="Times New Roman" w:hAnsi="Times New Roman" w:eastAsia="Microsoft YaHei"/>
        </w:rPr>
        <w:t>2 数据预处理</w:t>
      </w:r>
    </w:p>
    <w:p>
      <w:pPr/>
      <w:r>
        <w:rPr>
          <w:rFonts w:ascii="Times New Roman" w:hAnsi="Times New Roman" w:eastAsia="Microsoft YaHei"/>
        </w:rPr>
        <w:t>本次数据预处理首先对原始数据进行了拷贝，避免在处理过程中直接修改源数据。随后，代码检查并剔除了“整行内容与列名完全一致”的异常记录，这类记录通常来源于表头误读、重复写入或导入时的格式错位，清理后可确保后续分析基于有效观测值展开。</w:t>
      </w:r>
    </w:p>
    <w:p>
      <w:pPr/>
      <w:r>
        <w:rPr>
          <w:rFonts w:ascii="Times New Roman" w:hAnsi="Times New Roman" w:eastAsia="Microsoft YaHei"/>
        </w:rPr>
        <w:t>在变量类型整理方面，程序先对对象型字段进行数值特征识别：对于内容呈现混合特征的字段，将统一转换为字符串类型，以保证后续编码前的数据类型一致；与此同时，`class` 被单独识别并在满足条件时转换为整数型，从而保留其离散标签属性。结合处理结果可以看到，`class` 仍以分类标识保留在数据中，未被纳入标准化范围，说明该字段被明确作为目标变量或分组变量处理。</w:t>
      </w:r>
    </w:p>
    <w:p>
      <w:pPr/>
      <w:r>
        <w:rPr>
          <w:rFonts w:ascii="Times New Roman" w:hAnsi="Times New Roman" w:eastAsia="Microsoft YaHei"/>
        </w:rPr>
        <w:t>在数值变量处理方面，除 `class` 之外的连续型字段被识别为数值列，并使用 `StandardScaler` 进行标准化。处理后的预览数据显示，`alcohol`、`malic_acid`、`ash`、`alcalinity_of_ash`、`magnesium`、`total_phenols`、`flavanoids`、`nonflavanoid_phenols`、`proanthocyanins`、`color_intensity`、`hue`、`od280_od315_of_diluted_wines` 和 `proline` 等变量都转化为围绕零上下波动的无量纲数值，说明不同字段原本存在的量纲差异已被消除。这一步对后续比较各指标贡献、开展距离计算或建立分类模型都更为有利，因为各变量在同一尺度上表达后，不会因原始数值跨度过大而影响分析结果。</w:t>
      </w:r>
    </w:p>
    <w:p>
      <w:pPr/>
      <w:r>
        <w:rPr>
          <w:rFonts w:ascii="Times New Roman" w:hAnsi="Times New Roman" w:eastAsia="Microsoft YaHei"/>
        </w:rPr>
        <w:t>对于类别变量，代码采用 `OneHotEncoder` 进行独热编码，并设置 `handle_unknown="ignore"`，以避免后续遇到未见类别时产生报错。当前预处理结果中未出现额外展开的类别列，说明在本次数据中未识别出需要单独展开的类别字段，或其影响不明显；但这一处理逻辑仍保证了若存在类别型信息时，可以被统一转换为适合模型输入的数值表达形式。</w:t>
      </w:r>
    </w:p>
    <w:p>
      <w:pPr/>
      <w:r>
        <w:rPr>
          <w:rFonts w:ascii="Times New Roman" w:hAnsi="Times New Roman" w:eastAsia="Microsoft YaHei"/>
        </w:rPr>
        <w:t>从最终结果看，处理后的数据保留了 178 条记录和 14 个字段，`class` 继续作为标签列存在，其余字段均已完成标准化处理，整体结构清晰且尺度统一。相较于原始数据，当前数据在格式一致性、变量可比性和模型适用性方面都有明显提升，为后续的分类分析提供了更稳定的数据基础。</w:t>
      </w:r>
    </w:p>
    <w:p>
      <w:pPr>
        <w:pStyle w:val="Heading2"/>
        <w:keepNext/>
      </w:pPr>
      <w:r>
        <w:rPr>
          <w:rFonts w:ascii="Times New Roman" w:hAnsi="Times New Roman" w:eastAsia="Microsoft YaHei"/>
        </w:rPr>
        <w:t>2.1 异常记录剔除</w:t>
      </w:r>
    </w:p>
    <w:p>
      <w:pPr/>
      <w:r>
        <w:rPr>
          <w:rFonts w:ascii="Times New Roman" w:hAnsi="Times New Roman" w:eastAsia="Microsoft YaHei"/>
        </w:rPr>
        <w:t>本次预处理首先对原始数据进行了拷贝，以避免在处理过程中直接修改源数据。随后，程序检查是否存在整行内容与列名完全一致的记录，并将这类记录剔除。此类样本通常来源于表头误读、重复写入或导入时的格式错位，若不清理，容易被误当作有效观测值纳入后续分析，从而影响数据质量和结论可靠性。</w:t>
      </w:r>
    </w:p>
    <w:p>
      <w:pPr/>
      <w:r>
        <w:rPr>
          <w:rFonts w:ascii="Times New Roman" w:hAnsi="Times New Roman" w:eastAsia="Microsoft YaHei"/>
        </w:rPr>
        <w:t>从处理逻辑来看，这一步并不涉及对正常样本的重新筛选，而是针对明显异常的脏数据进行删除，因此保留的是结构上有效、内容上可解释的记录。处理完成后，数据仍保持 178 条预览记录和 14 个字段，说明异常剔除主要用于消除导入过程中的非样本行，并未改变数据的主体结构。</w:t>
      </w:r>
    </w:p>
    <w:p>
      <w:pPr>
        <w:pStyle w:val="Heading2"/>
        <w:keepNext/>
      </w:pPr>
      <w:r>
        <w:rPr>
          <w:rFonts w:ascii="Times New Roman" w:hAnsi="Times New Roman" w:eastAsia="Microsoft YaHei"/>
        </w:rPr>
        <w:t>2.2 缺失值处理</w:t>
      </w:r>
    </w:p>
    <w:p>
      <w:pPr/>
      <w:r>
        <w:rPr>
          <w:rFonts w:ascii="Times New Roman" w:hAnsi="Times New Roman" w:eastAsia="Microsoft YaHei"/>
        </w:rPr>
        <w:t>本次预处理在异常记录剔除之后，进一步对数据中的空值情况进行了检查。结合当前处理结果来看，预览数据中未发现明显缺失项，且后续处理流程未触发针对空值的填补操作，说明该数据在进入建模前整体完整性较好。对于这类缺失较少或基本不存在缺失的结构化样本，优先保留原始观测值可以避免因不必要的插补而引入额外偏差，也能更真实地反映各指标之间的原始关系。</w:t>
      </w:r>
    </w:p>
    <w:p>
      <w:pPr/>
      <w:r>
        <w:rPr>
          <w:rFonts w:ascii="Times New Roman" w:hAnsi="Times New Roman" w:eastAsia="Microsoft YaHei"/>
        </w:rPr>
        <w:t>从处理逻辑上看，当前阶段并未采用删除缺失样本或均值、中位数填补等常见策略，而是基于数据本身的完整性直接继续后续处理。这意味着空值并不是本次数据质量的主要问题，数据清理重点仍集中在剔除导入过程中的异常行。由于 `class` 以及各理化指标在处理后均能正常保留并参与后续标准化和编码流程，可以判断本阶段已基本满足完整性要求，为后续变量转换与分类分析提供了稳定的数据基础。</w:t>
      </w:r>
    </w:p>
    <w:p>
      <w:pPr>
        <w:pStyle w:val="Heading2"/>
        <w:keepNext/>
      </w:pPr>
      <w:r>
        <w:rPr>
          <w:rFonts w:ascii="Times New Roman" w:hAnsi="Times New Roman" w:eastAsia="Microsoft YaHei"/>
        </w:rPr>
        <w:t>2.3 独热编码与标准化</w:t>
      </w:r>
    </w:p>
    <w:p>
      <w:pPr/>
      <w:r>
        <w:rPr>
          <w:rFonts w:ascii="Times New Roman" w:hAnsi="Times New Roman" w:eastAsia="Microsoft YaHei"/>
        </w:rPr>
        <w:t>在进入建模前，数据先根据字段类型进行了统一表达：数值型特征被识别为连续变量，类别型特征则单独归入待编码字段，其中 `class` 作为分类标签保留，不参与标准化处理。这样的区分保证了目标变量的离散属性不被破坏，也避免了将标签信息误当作连续数值进行缩放。</w:t>
      </w:r>
    </w:p>
    <w:p>
      <w:pPr/>
      <w:r>
        <w:rPr>
          <w:rFonts w:ascii="Times New Roman" w:hAnsi="Times New Roman" w:eastAsia="Microsoft YaHei"/>
        </w:rPr>
        <w:t>对于连续型字段，程序采用 `StandardScaler` 进行标准化处理，使各变量转换为均值附近波动的无量纲数值。处理后的 `alcohol`、`malic_acid`、`ash`、`alcalinity_of_ash`、`magnesium`、`total_phenols`、`flavanoids`、`nonflavanoid_phenols`、`proanthocyanins`、`color_intensity`、`hue`、`od280_od315_of_diluted_wines` 和 `proline` 均呈现正负交替的分布形态，说明原本差异明显的量纲和取值范围已被消除。对这类理化指标而言，标准化的作用不仅是压缩数值尺度，更重要的是让不同变量在后续分析中处于可比状态，避免某些取值跨度较大的字段在距离计算或模型拟合中占据过强影响。</w:t>
      </w:r>
    </w:p>
    <w:p>
      <w:pPr/>
      <w:r>
        <w:rPr>
          <w:rFonts w:ascii="Times New Roman" w:hAnsi="Times New Roman" w:eastAsia="Microsoft YaHei"/>
        </w:rPr>
        <w:t>对于类别变量，代码使用 `OneHotEncoder` 进行独热编码，并设置 `handle_unknown="ignore"`，以提升后续处理的稳健性，防止训练阶段未见过的类别在应用时引发报错。不过，从当前预处理结果来看，最终保留的列仍以原始理化指标和 `class` 为主，未展开出额外的类别指示列，说明本次数据中可识别的类别字段较少，或未形成需要显式展开的独热特征。整体上，这一步完成了变量表达方式的统一，使样本可以在同一数值体系下进入后续分析流程。</w:t>
      </w:r>
    </w:p>
    <w:p>
      <w:pPr>
        <w:pStyle w:val="Heading1"/>
        <w:keepNext/>
      </w:pPr>
      <w:r>
        <w:rPr>
          <w:rFonts w:ascii="Times New Roman" w:hAnsi="Times New Roman" w:eastAsia="Microsoft YaHei"/>
        </w:rPr>
        <w:t>3 可视化分析</w:t>
      </w:r>
    </w:p>
    <w:p>
      <w:pPr/>
      <w:r>
        <w:rPr>
          <w:rFonts w:ascii="Times New Roman" w:hAnsi="Times New Roman" w:eastAsia="Microsoft YaHei"/>
        </w:rPr>
        <w:t>从可视化结果看，样本在若干核心理化指标上呈现出较明显的非均匀分布与类别分层特征。酒精含量的分布近似双峰，主要集中在低值和高值两个区间，说明样本在 alcohol 上存在明显分层，且整体离散性较强，少量高低端值进一步增强了其区分度。与之相比，color_intensity 的分布更偏向中低值，箱线图显示其上须较长并伴随少量高值离群点，表明该指标明显右偏，且少数高色度样本拉长了尾部。标准化后的 color_intensity 仍主要集中在 -1 到 0 附近，说明大多数样本色强度偏低，但右偏长尾和高值异常样本的存在，使其在后续分群或分类中具有较强但不稳定的判别作用。</w:t>
      </w:r>
    </w:p>
    <w:p>
      <w:pPr/>
      <w:r>
        <w:rPr>
          <w:rFonts w:ascii="Times New Roman" w:hAnsi="Times New Roman" w:eastAsia="Microsoft YaHei"/>
        </w:rPr>
        <w:t>Proline 的分布特征同样较为突出。无论是对数坐标下的分布，还是箱线图所呈现的整体波动，都显示该指标集中于低值区间，呈现明显右偏长尾，中位数偏低、离散程度较大，上尾更长且高值样本较少但影响显著。这说明 Proline 在不同样本之间差异较大，既具有较强的类别区分潜力，也提示建模时需要关注极端值对结果的影响。相比之下，hue 的分布更为集中，近似单峰，样本主要聚集在 0 附近，整体波动有限，仅少量样本落在较高区间，显示其变化主要体现在中心值附近的小幅波动。</w:t>
      </w:r>
    </w:p>
    <w:p>
      <w:pPr/>
      <w:r>
        <w:rPr>
          <w:rFonts w:ascii="Times New Roman" w:hAnsi="Times New Roman" w:eastAsia="Microsoft YaHei"/>
        </w:rPr>
        <w:t>从类别差异来看，三类酒样在多项理化指标上表现出较清晰的分层关系。整体上，class 1 在 alcohol、flavanoids、proline 等指标上普遍偏高，且分布相对集中；class 3 则在 phenols、色泽相关指标和 proline 等方面整体偏低，波动也更明显；class 2 多处于中间水平，呈现过渡型特征。小提琴图进一步验证了这种差异：不同类别在 alcohol、flavanoids、proline 以及部分酚类和光谱相关指标上的分布区间并不完全重叠，说明这些变量对类别识别具有较强解释力。平行坐标图也显示，各类别样本在酒精度、色度强度、总酚、黄酮类和原花青素等指标上呈现明显分层，部分维度的取值重叠较少，进一步说明这些指标适合用于葡萄酒分型和质量识别。</w:t>
      </w:r>
    </w:p>
    <w:p>
      <w:pPr/>
      <w:r>
        <w:rPr>
          <w:rFonts w:ascii="Times New Roman" w:hAnsi="Times New Roman" w:eastAsia="Microsoft YaHei"/>
        </w:rPr>
        <w:t>在变量关系方面，alcohol 与 color_intensity 之间表现出明显的正相关，酒精度越高，颜色强度通常越大，且不同类别样本在散点分布上存在较清楚的分层：3类多集中于较高色强区域，2类居中，1类整体偏低且更分散。这表明两者联合使用时对类别区分具有较强解释力。flavanoids 与 total phenols 之间同样呈明显正相关，样本整体沿右上方向聚集，高值样本集中于图右上区域，说明酚类物质的积累具有一致性，也反映出两者可以共同表征葡萄酒的风味与品质特征。进一步看三维散点图，flavanoids、total phenols 与 od280/od315_of_diluted_wines 对类别有一定区分作用，但三类点云仍存在较强重叠，尤其是 2 类更多落在中低值范围，说明这些指标虽然具有判别价值，但单独使用仍不足以完成完全分类，需结合更多变量联合建模。</w:t>
      </w:r>
    </w:p>
    <w:p>
      <w:pPr/>
      <w:r>
        <w:rPr>
          <w:rFonts w:ascii="Times New Roman" w:hAnsi="Times New Roman" w:eastAsia="Microsoft YaHei"/>
        </w:rPr>
        <w:t>相关性热力图从整体上揭示了变量之间的联动结构。酒精度、总酚、类黄酮、OD280/OD315、proline 等指标之间多为强正相关，说明它们可能共同反映葡萄酒的某些品质属性；而 color_intensity、hue、nonflavanoid_phenols 等与部分指标呈负相关，体现出不同特征方向上的对立关系。这种相关性分群意味着部分变量之间存在潜在冗余，也为后续特征筛选和建模提供了依据。散点矩阵则进一步显示，class 1、2、3 在多变量空间中呈现较明显的簇状分离，同时部分变量两两之间保持同步升降关系，尤其是总酚、类黄酮与 od280/od315、proline 等组合，能够较好体现类别差异和变量联动特征。</w:t>
      </w:r>
    </w:p>
    <w:p>
      <w:pPr>
        <w:pStyle w:val="Heading2"/>
        <w:keepNext/>
      </w:pPr>
      <w:r>
        <w:rPr>
          <w:rFonts w:ascii="Times New Roman" w:hAnsi="Times New Roman" w:eastAsia="Microsoft YaHei"/>
        </w:rPr>
        <w:t>3.1 样本分布与指标形态</w:t>
      </w:r>
    </w:p>
    <w:p>
      <w:pPr/>
      <w:r>
        <w:rPr>
          <w:rFonts w:ascii="Times New Roman" w:hAnsi="Times New Roman" w:eastAsia="Microsoft YaHei"/>
        </w:rPr>
        <w:t>在样本分布层面，不同理化指标呈现出较明显的偏态、长尾与集中趋势，说明各变量的取值结构并不一致，需要分开观察其形态特征。hue 的分布近似单峰，大多数样本集中在 0 附近，整体波动有限，仅少量样本落在较高区间，表明该指标的典型值较为集中、变化主要体现在中心区域的小幅波动。</w:t>
      </w:r>
    </w:p>
    <w:p>
      <w:pPr>
        <w:spacing w:before="200" w:after="80"/>
        <w:jc w:val="center"/>
      </w:pPr>
      <w:r>
        <w:drawing>
          <wp:inline xmlns:a="http://schemas.openxmlformats.org/drawingml/2006/main" xmlns:pic="http://schemas.openxmlformats.org/drawingml/2006/picture">
            <wp:extent cx="3291839" cy="2116182"/>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图1 hue分布特征</w:t>
      </w:r>
    </w:p>
    <w:p>
      <w:pPr/>
      <w:r>
        <w:rPr>
          <w:rFonts w:ascii="Times New Roman" w:hAnsi="Times New Roman" w:eastAsia="Microsoft YaHei"/>
        </w:rPr>
        <w:t>与之相比，color_intensity 的分布更偏向中低值区间，标准化后仍主要集中在 -1 到 0 附近，箱线图显示其上须较长并伴随少量高值离群点，体现出明显的右偏长尾特征。也就是说，大多数样本的色强度较低，但少数高值样本会显著拉长尾部，使该指标兼具一定区分度和不稳定性。</w:t>
      </w:r>
    </w:p>
    <w:p>
      <w:pPr>
        <w:spacing w:before="200" w:after="80"/>
        <w:jc w:val="center"/>
      </w:pPr>
      <w:r>
        <w:drawing>
          <wp:inline xmlns:a="http://schemas.openxmlformats.org/drawingml/2006/main" xmlns:pic="http://schemas.openxmlformats.org/drawingml/2006/picture">
            <wp:extent cx="3291839" cy="2116182"/>
            <wp:docPr id="2" name="Picture 2"/>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图2 颜色强度分布特征</w:t>
      </w:r>
    </w:p>
    <w:p>
      <w:pPr/>
      <w:r>
        <w:rPr>
          <w:rFonts w:ascii="Times New Roman" w:hAnsi="Times New Roman" w:eastAsia="Microsoft YaHei"/>
        </w:rPr>
        <w:t>Proline 的形态特征更为突出。箱线图显示其中位数偏低、箱体和须较长，上尾明显更长，说明样本整体集中在较低水平，但不同样本之间差异较大，且高值样本对整体分布影响显著。 在对数坐标下，Proline 仍表现为明显的右偏长尾，大量样本聚集在低值区间，少量样本延伸到高值端，进一步说明该指标具有较强的波动性和潜在区分能力。</w:t>
      </w:r>
    </w:p>
    <w:p>
      <w:pPr>
        <w:spacing w:before="200" w:after="80"/>
        <w:jc w:val="center"/>
      </w:pPr>
      <w:r>
        <w:drawing>
          <wp:inline xmlns:a="http://schemas.openxmlformats.org/drawingml/2006/main" xmlns:pic="http://schemas.openxmlformats.org/drawingml/2006/picture">
            <wp:extent cx="3291839" cy="2116182"/>
            <wp:docPr id="3" name="Picture 3"/>
            <wp:cNvGraphicFramePr>
              <a:graphicFrameLocks noChangeAspect="1"/>
            </wp:cNvGraphicFramePr>
            <a:graphic>
              <a:graphicData uri="http://schemas.openxmlformats.org/drawingml/2006/picture">
                <pic:pic>
                  <pic:nvPicPr>
                    <pic:cNvPr id="0" name="image.png"/>
                    <pic:cNvPicPr/>
                  </pic:nvPicPr>
                  <pic:blipFill>
                    <a:blip r:embed="rId11"/>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图3 proline分布特征</w:t>
      </w:r>
    </w:p>
    <w:p>
      <w:pPr/>
      <w:r>
        <w:rPr>
          <w:rFonts w:ascii="Times New Roman" w:hAnsi="Times New Roman" w:eastAsia="Microsoft YaHei"/>
        </w:rPr>
        <w:t>从整体观感看，hue、color_intensity 与 Proline 的分布特征各有侧重：hue 更集中，变化幅度相对有限；color_intensity 以低值为主且存在右侧长尾；Proline 则同时体现出低值集中、长尾延伸和较强离散度。这些形态差异表明，后续分析中既要关注指标的中心趋势，也要重视偏态分布和高值样本对类别识别的影响。色强度的箱线图进一步印证了这一点，样本整体以中低值为主，上侧离群点使其右偏特征更加明显。</w:t>
      </w:r>
    </w:p>
    <w:p>
      <w:pPr>
        <w:spacing w:before="200" w:after="80"/>
        <w:jc w:val="center"/>
      </w:pPr>
      <w:r>
        <w:drawing>
          <wp:inline xmlns:a="http://schemas.openxmlformats.org/drawingml/2006/main" xmlns:pic="http://schemas.openxmlformats.org/drawingml/2006/picture">
            <wp:extent cx="3291839" cy="2116182"/>
            <wp:docPr id="4" name="Picture 4"/>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图4 色强度分布特征</w:t>
      </w:r>
    </w:p>
    <w:p>
      <w:pPr>
        <w:pStyle w:val="Heading2"/>
        <w:keepNext/>
      </w:pPr>
      <w:r>
        <w:rPr>
          <w:rFonts w:ascii="Times New Roman" w:hAnsi="Times New Roman" w:eastAsia="Microsoft YaHei"/>
        </w:rPr>
        <w:t>3.2 类别差异对比</w:t>
      </w:r>
    </w:p>
    <w:p>
      <w:pPr/>
      <w:r>
        <w:rPr>
          <w:rFonts w:ascii="Times New Roman" w:hAnsi="Times New Roman" w:eastAsia="Microsoft YaHei"/>
        </w:rPr>
        <w:t>三类葡萄酒在关键理化指标上呈现出较清晰的分层关系。就整体分布而言，class 1 在 alcohol、flavanoids、proline 等指标上普遍偏高，且样本波动相对较大；class 3 则在 phenols、色泽相关指标和 proline 等维度上整体偏低，离散程度也更明显；class 2 多处于两者之间，表现出一定的过渡型特征。这样的差异说明，类别信息并不是均匀分散在所有变量中，而是集中体现在酒精度、酚类物质与颜色强度等少数关键维度上，这些维度对葡萄酒分型具有较强解释力。</w:t>
      </w:r>
    </w:p>
    <w:p>
      <w:pPr>
        <w:spacing w:before="200" w:after="80"/>
        <w:jc w:val="center"/>
      </w:pPr>
      <w:r>
        <w:drawing>
          <wp:inline xmlns:a="http://schemas.openxmlformats.org/drawingml/2006/main" xmlns:pic="http://schemas.openxmlformats.org/drawingml/2006/picture">
            <wp:extent cx="3291839" cy="2116182"/>
            <wp:docPr id="5" name="Picture 5"/>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图5 三类酒样关键指标比较</w:t>
      </w:r>
    </w:p>
    <w:p>
      <w:pPr/>
      <w:r>
        <w:rPr>
          <w:rFonts w:ascii="Times New Roman" w:hAnsi="Times New Roman" w:eastAsia="Microsoft YaHei"/>
        </w:rPr>
        <w:t>进一步从平行坐标图来看，不同类别在 alcohol、色度强度、总酚、黄酮类和原花青素等指标上的轨迹分离度较高，部分变量区间的重叠并不充分，说明类别之间并非完全混杂，而是存在较明显的层次结构。 这意味着在进行葡萄酒识别或品质分级时，单个指标虽然能够提供线索，但更有效的方式仍是结合多项理化特征共同判断，以提高分类稳定性和判别可靠性。</w:t>
      </w:r>
    </w:p>
    <w:p>
      <w:pPr/>
      <w:r>
        <w:rPr>
          <w:rFonts w:ascii="Times New Roman" w:hAnsi="Times New Roman" w:eastAsia="Microsoft YaHei"/>
        </w:rPr>
        <w:t>按 class 分组的小提琴图进一步强化了这种分层印象。class 1 在 alcohol、flavanoids、proline 等指标上的取值整体偏高且分布更集中，class 3 则在 total_phenols、od280_od315_of_diluted_wines 等特征上相对偏低，并伴随更明显的波动；class 2 多数情况下位于中间带，显示出承上启下的过渡特征。 这说明类别差异不仅体现在中心水平上，也体现在分布宽度和形态上，因而后续建模不能只依赖均值差异，还应关注样本离散程度及其对分类边界的影响。</w:t>
      </w:r>
    </w:p>
    <w:p>
      <w:pPr>
        <w:spacing w:before="200" w:after="80"/>
        <w:jc w:val="center"/>
      </w:pPr>
      <w:r>
        <w:drawing>
          <wp:inline xmlns:a="http://schemas.openxmlformats.org/drawingml/2006/main" xmlns:pic="http://schemas.openxmlformats.org/drawingml/2006/picture">
            <wp:extent cx="3291839" cy="2116182"/>
            <wp:docPr id="6" name="Picture 6"/>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图6 三类样本特征分布差异</w:t>
      </w:r>
    </w:p>
    <w:p>
      <w:pPr/>
      <w:r>
        <w:rPr>
          <w:rFonts w:ascii="Times New Roman" w:hAnsi="Times New Roman" w:eastAsia="Microsoft YaHei"/>
        </w:rPr>
        <w:t>从三维关系上看，flavanoids、total phenols 和 od280/od315 这三个变量能够在一定程度上拉开不同类别样本的空间位置，但三类点云仍存在较明显重叠，仅能观察到轻微分层。 其中，1类与3类在较高值区域相对更集中，2类更多分布于中低值范围，但边界并不清晰，说明这组指标具有一定区分能力，却不足以单独完成稳定分类。换言之，它们更适合作为联合判别特征，而不是独立判别依据。</w:t>
      </w:r>
    </w:p>
    <w:p>
      <w:pPr/>
      <w:r>
        <w:rPr>
          <w:rFonts w:ascii="Times New Roman" w:hAnsi="Times New Roman" w:eastAsia="Microsoft YaHei"/>
        </w:rPr>
        <w:t>酒精度与颜色强度之间的关系则提供了另一层解释。散点图显示，alcohol 越高，color_intensity 整体越强，点云虽有一定离散，但总体呈上升趋势，表明两者存在正相关；同时，不同 class 的样本在散点分布上也有明显分层，类别间聚集区间并不一致。 这提示 alcohol 与 color_intensity 不仅是描述酒体风格的重要变量，也能够在类别识别中发挥较强作用，尤其适合与酚类指标结合，用于构建更稳健的分型依据。</w:t>
      </w:r>
    </w:p>
    <w:p>
      <w:pPr>
        <w:spacing w:before="200" w:after="80"/>
        <w:jc w:val="center"/>
      </w:pPr>
      <w:r>
        <w:drawing>
          <wp:inline xmlns:a="http://schemas.openxmlformats.org/drawingml/2006/main" xmlns:pic="http://schemas.openxmlformats.org/drawingml/2006/picture">
            <wp:extent cx="3291839" cy="2116182"/>
            <wp:docPr id="7" name="Picture 7"/>
            <wp:cNvGraphicFramePr>
              <a:graphicFrameLocks noChangeAspect="1"/>
            </wp:cNvGraphicFramePr>
            <a:graphic>
              <a:graphicData uri="http://schemas.openxmlformats.org/drawingml/2006/picture">
                <pic:pic>
                  <pic:nvPicPr>
                    <pic:cNvPr id="0" name="image.png"/>
                    <pic:cNvPicPr/>
                  </pic:nvPicPr>
                  <pic:blipFill>
                    <a:blip r:embed="rId15"/>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图7 酒精度与颜色强度关系</w:t>
      </w:r>
    </w:p>
    <w:p>
      <w:pPr>
        <w:pStyle w:val="Heading2"/>
        <w:keepNext/>
      </w:pPr>
      <w:r>
        <w:rPr>
          <w:rFonts w:ascii="Times New Roman" w:hAnsi="Times New Roman" w:eastAsia="Microsoft YaHei"/>
        </w:rPr>
        <w:t>3.3 变量相关结构</w:t>
      </w:r>
    </w:p>
    <w:p>
      <w:pPr/>
      <w:r>
        <w:rPr>
          <w:rFonts w:ascii="Times New Roman" w:hAnsi="Times New Roman" w:eastAsia="Microsoft YaHei"/>
        </w:rPr>
        <w:t>变量之间并不是彼此独立的，热力图显示出较明显的相关性分群：酒精度、总酚、类黄酮、OD280/OD315 和 proline 之间多为强正相关，说明这些指标在变化方向上较为一致，可能共同刻画了葡萄酒的某些核心品质属性；与之相对，color_intensity、hue、nonflavanoid_phenols 等变量与部分指标呈负相关，反映出不同特征在化学含义和变化趋势上的对立关系。 这种结构提示后续分析不宜将所有变量视为相互独立的输入，而应关注高相关特征带来的信息重叠，必要时通过筛选或降维减少冗余。</w:t>
      </w:r>
    </w:p>
    <w:p>
      <w:pPr>
        <w:spacing w:before="200" w:after="80"/>
        <w:jc w:val="center"/>
      </w:pPr>
      <w:r>
        <w:drawing>
          <wp:inline xmlns:a="http://schemas.openxmlformats.org/drawingml/2006/main" xmlns:pic="http://schemas.openxmlformats.org/drawingml/2006/picture">
            <wp:extent cx="3291839" cy="2116182"/>
            <wp:docPr id="8" name="Picture 8"/>
            <wp:cNvGraphicFramePr>
              <a:graphicFrameLocks noChangeAspect="1"/>
            </wp:cNvGraphicFramePr>
            <a:graphic>
              <a:graphicData uri="http://schemas.openxmlformats.org/drawingml/2006/picture">
                <pic:pic>
                  <pic:nvPicPr>
                    <pic:cNvPr id="0" name="image.png"/>
                    <pic:cNvPicPr/>
                  </pic:nvPicPr>
                  <pic:blipFill>
                    <a:blip r:embed="rId16"/>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图8 酒样特征相关性热图</w:t>
      </w:r>
    </w:p>
    <w:p>
      <w:pPr/>
      <w:r>
        <w:rPr>
          <w:rFonts w:ascii="Times New Roman" w:hAnsi="Times New Roman" w:eastAsia="Microsoft YaHei"/>
        </w:rPr>
        <w:t>从单变量关系看，黄酮含量（flavanoids）与总酚（total phenols）之间也呈现出清晰的一致性。散点分布整体沿右上方向聚集，表明两者存在明显正相关：黄酮越高，总酚通常也越高，高值样本也更集中地出现在右上区域。 这一结果进一步印证了酚类相关指标之间的联动关系，也说明 flavanoids 与 total phenols 在描述样本特征时具有较强的共变性。对于建模而言，这类高度关联的变量虽然有助于增强解释，但也可能带来重复信息，因此在构建分类模型时需要结合变量相关结构，优先保留更具代表性的核心指标，以提升模型简洁性和判别效率。</w:t>
      </w:r>
    </w:p>
    <w:p>
      <w:pPr>
        <w:pStyle w:val="Heading2"/>
        <w:keepNext/>
      </w:pPr>
      <w:r>
        <w:rPr>
          <w:rFonts w:ascii="Times New Roman" w:hAnsi="Times New Roman" w:eastAsia="Microsoft YaHei"/>
        </w:rPr>
        <w:t>3.4 关键特征表现</w:t>
      </w:r>
    </w:p>
    <w:p>
      <w:pPr/>
      <w:r>
        <w:rPr>
          <w:rFonts w:ascii="Times New Roman" w:hAnsi="Times New Roman" w:eastAsia="Microsoft YaHei"/>
        </w:rPr>
        <w:t>从关键特征来看，alcohol 的分布并非均匀展开，而是呈现出较明显的分层与双峰迹象，样本主要聚集在两个相对集中的区间，说明其在区分不同样本时具备一定识别力。结合箱线图与直方图可以看到，酒精含量整体存在一定离散性，同时伴随少量高低端值，这使得该指标既能反映样本的中心差异，也能揭示不同样本在高值和低值区域的分布差别。 这类特征说明，酒精含量并不是单纯的背景变量，而是后续分类判断中值得优先关注的高区分度指标之一。</w:t>
      </w:r>
    </w:p>
    <w:p>
      <w:pPr>
        <w:spacing w:before="200" w:after="80"/>
        <w:jc w:val="center"/>
      </w:pPr>
      <w:r>
        <w:drawing>
          <wp:inline xmlns:a="http://schemas.openxmlformats.org/drawingml/2006/main" xmlns:pic="http://schemas.openxmlformats.org/drawingml/2006/picture">
            <wp:extent cx="3291839" cy="2116182"/>
            <wp:docPr id="9" name="Picture 9"/>
            <wp:cNvGraphicFramePr>
              <a:graphicFrameLocks noChangeAspect="1"/>
            </wp:cNvGraphicFramePr>
            <a:graphic>
              <a:graphicData uri="http://schemas.openxmlformats.org/drawingml/2006/picture">
                <pic:pic>
                  <pic:nvPicPr>
                    <pic:cNvPr id="0" name="image.png"/>
                    <pic:cNvPicPr/>
                  </pic:nvPicPr>
                  <pic:blipFill>
                    <a:blip r:embed="rId17"/>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图9 酒精含量分布特征</w:t>
      </w:r>
    </w:p>
    <w:p>
      <w:pPr/>
      <w:r>
        <w:rPr>
          <w:rFonts w:ascii="Times New Roman" w:hAnsi="Times New Roman" w:eastAsia="Microsoft YaHei"/>
        </w:rPr>
        <w:t>进一步看，这种分布形态与前文观察到的类别分层趋势是相一致的。对于葡萄酒样本而言，若某一变量能够在整体上形成相对清晰的聚集带，并在极端值区域保留一定伸展空间，通常意味着它在区分样本类别时更容易提供有效线索。酒精含量正体现出这种特征：一方面，主体样本集中度较高，说明其具有稳定的中心趋势；另一方面，分布两端仍保留少量样本延伸，说明不同样本之间并非完全重叠。因而，在后续建模中，这类变量可作为优先纳入的关键特征，与flavanoids、proline等共同提升类别判别效果。</w:t>
      </w:r>
    </w:p>
    <w:p>
      <w:pPr>
        <w:pStyle w:val="Heading1"/>
        <w:keepNext/>
      </w:pPr>
      <w:r>
        <w:rPr>
          <w:rFonts w:ascii="Times New Roman" w:hAnsi="Times New Roman" w:eastAsia="Microsoft YaHei"/>
        </w:rPr>
        <w:t>4 模型构建与评估</w:t>
      </w:r>
    </w:p>
    <w:p>
      <w:pPr/>
      <w:r>
        <w:rPr>
          <w:rFonts w:ascii="Times New Roman" w:hAnsi="Times New Roman" w:eastAsia="Microsoft YaHei"/>
        </w:rPr>
        <w:t>本章围绕目标变量 class 展开三分类建模比较，重点考察不同分类器在测试集上的识别效果，并据此筛选最优模型。根据建模结果，本次共评估了 LGBMClassifier、XGBClassifier 和 RandomForestClassifier 三种模型，评价指标统一采用 Accuracy、Precision、Recall 和 F1，便于从整体判别能力与分类稳定性两个层面进行横向对比。</w:t>
      </w:r>
    </w:p>
    <w:p>
      <w:pPr/>
      <w:r>
        <w:rPr>
          <w:rFonts w:ascii="Times New Roman" w:hAnsi="Times New Roman" w:eastAsia="Microsoft YaHei"/>
        </w:rPr>
        <w:t>从模型表现看，LGBMClassifier 的 Accuracy 为 0.9722，Precision 为 0.9744，Recall 为 0.9762，F1 为 0.9743，整体已经具有较高水平，但与另外两种模型相比仍存在一定差距。XGBClassifier 与 RandomForestClassifier 在测试集上的 Accuracy、Precision、Recall 和 F1 均达到 1.0000，说明在当前特征条件和数据划分下，两者都能够对三类样本实现完整区分，分类效果达到满分。就结果排序而言，XGBClassifier 与 RandomForestClassifier 处于并列最优，LGBMClassifier 次之。</w:t>
      </w:r>
    </w:p>
    <w:p>
      <w:pPr/>
      <w:r>
        <w:rPr>
          <w:rFonts w:ascii="Times New Roman" w:hAnsi="Times New Roman" w:eastAsia="Microsoft YaHei"/>
        </w:rPr>
        <w:t>在最优模型选择上，系统以 F1 作为判定依据，最终将 XGBClassifier 标记为 best_model，且其 F1 为 1.0000。尽管 RandomForestClassifier 的各项指标与 XGBClassifier 一致，但最终推荐模型仍按照既定规则确定为 XGBClassifier。这表明本次建模流程不仅完成了模型性能比较，也明确给出了适用于后续使用的主模型选择结果。</w:t>
      </w:r>
    </w:p>
    <w:p>
      <w:pPr/>
      <w:r>
        <w:rPr>
          <w:rFonts w:ascii="Times New Roman" w:hAnsi="Times New Roman" w:eastAsia="Microsoft YaHei"/>
        </w:rPr>
        <w:t>结合训练与测试划分来看，这组三分类任务在当前特征体系下具备较强可分性。三种模型中，LGBMClassifier 已能取得接近满分的表现，而 XGBClassifier 和 RandomForestClassifier 则进一步将测试集指标提升至完全正确识别，说明前文识别出的关键理化特征确实包含较强判别信息。综合来看，XGBClassifier 既满足最优指标要求，也具备较好的任务适配性，可作为本次葡萄酒三分类分析的最终推荐模型。</w:t>
      </w:r>
    </w:p>
    <w:p>
      <w:pPr>
        <w:pStyle w:val="Heading2"/>
        <w:keepNext/>
      </w:pPr>
      <w:r>
        <w:rPr>
          <w:rFonts w:ascii="Times New Roman" w:hAnsi="Times New Roman" w:eastAsia="Microsoft YaHei"/>
        </w:rPr>
        <w:t>4.1 模型方案设计</w:t>
      </w:r>
    </w:p>
    <w:p>
      <w:pPr/>
      <w:r>
        <w:rPr>
          <w:rFonts w:ascii="Times New Roman" w:hAnsi="Times New Roman" w:eastAsia="Microsoft YaHei"/>
        </w:rPr>
        <w:t>本章围绕目标变量 class 构建三分类建模流程，并在统一的评估框架下比较不同分类器的识别效果。根据数据说明，本次任务为 3 分类表格型数据集，共 178 条样本、13 个原始特征，训练集 142 条、测试集 36 条。为保证模型输入的一致性，首先使用 LabelEncoder 将目标列 class 转换为数值标签；随后将正负无穷值替换为缺失值，并结合训练集统计量对数值特征采用中位数填补。对于可能存在的非数值特征，则统一转为对象类型并以 "Missing" 补全，再执行 one-hot 编码，同时对训练集与测试集进行列对齐，确保两侧特征空间一致。在此基础上，还构造了标准化版本特征，以适配不同模型的输入需求。</w:t>
      </w:r>
    </w:p>
    <w:p>
      <w:pPr/>
      <w:r>
        <w:rPr>
          <w:rFonts w:ascii="Times New Roman" w:hAnsi="Times New Roman" w:eastAsia="Microsoft YaHei"/>
        </w:rPr>
        <w:t>在模型设计上，本次共比较 LGBMClassifier、XGBClassifier 和 RandomForestClassifier 三种分类模型，并统一采用 Accuracy、Precision、Recall 和 F1 作为评价指标。这样设置的目的，是从整体判别能力、类别识别稳定性和综合分类效果三个层面同时观察模型表现，避免仅依赖单一指标造成判断偏差。各模型均在相同的数据划分和预处理结果上进行训练与测试，从而保证比较结果具有可比性。</w:t>
      </w:r>
    </w:p>
    <w:p>
      <w:pPr/>
      <w:r>
        <w:rPr>
          <w:rFonts w:ascii="Times New Roman" w:hAnsi="Times New Roman" w:eastAsia="Microsoft YaHei"/>
        </w:rPr>
        <w:t>从模型表现看，LGBMClassifier 的 Accuracy 为 0.9722，Precision 为 0.9744，Recall 为 0.9762，F1 为 0.9743，整体已经达到较高水平，但仍略低于另外两种模型。XGBClassifier 与 RandomForestClassifier 在测试集上的 Accuracy、Precision、Recall 和 F1 均为 1.0000，说明在当前特征条件和数据划分下，两者都能够对三类样本实现完整区分。按照既定规则，本次以 F1 作为最优模型判定依据，因此系统将 XGBClassifier 选为 best_model，且其 F1 为 1.0000。尽管 RandomForestClassifier 的各项指标与 XGBClassifier 持平，但最终推荐模型仍以 XGBClassifier 为准。</w:t>
      </w:r>
    </w:p>
    <w:p>
      <w:pPr/>
      <w:r>
        <w:rPr>
          <w:rFonts w:ascii="Times New Roman" w:hAnsi="Times New Roman" w:eastAsia="Microsoft YaHei"/>
        </w:rPr>
        <w:t>从数据规模与特征处理结果来看，原始 13 个特征在预处理后仍保持为 13 个处理后特征，未出现额外维度膨胀，说明该数据集以数值特征为主，特征工程重点更多体现在缺失值处理、编码一致性和输入稳定性上，而不是大规模扩展特征空间。结合建模结果可以认为，当前流程已经能够较充分地支撑三分类任务的模型比较与最优模型筛选，且 XGBClassifier 在这一框架下表现最优，适合作为后续分析与应用的主模型。</w:t>
      </w:r>
    </w:p>
    <w:p>
      <w:pPr>
        <w:pStyle w:val="Heading2"/>
        <w:keepNext/>
      </w:pPr>
      <w:r>
        <w:rPr>
          <w:rFonts w:ascii="Times New Roman" w:hAnsi="Times New Roman" w:eastAsia="Microsoft YaHei"/>
        </w:rPr>
        <w:t>4.2 最优模型筛选</w:t>
      </w:r>
    </w:p>
    <w:p>
      <w:pPr/>
      <w:r>
        <w:rPr>
          <w:rFonts w:ascii="Times New Roman" w:hAnsi="Times New Roman" w:eastAsia="Microsoft YaHei"/>
        </w:rPr>
        <w:t>本章围绕目标变量 class 的三分类任务，对 LGBMClassifier、XGBClassifier 和 RandomForestClassifier 三种模型进行了横向比较，重点考察它们在测试集上的识别效果，并据此确定最优模型。为保证比较结果具有可比性，各模型均在相同的数据划分和预处理基础上训练与评估，统一采用 Accuracy、Precision、Recall 和 F1 作为评价指标。</w:t>
      </w:r>
    </w:p>
    <w:p>
      <w:pPr/>
      <w:r>
        <w:rPr>
          <w:rFonts w:ascii="Times New Roman" w:hAnsi="Times New Roman" w:eastAsia="Microsoft YaHei"/>
        </w:rPr>
        <w:t>从测试集表现看，LGBMClassifier 的 Accuracy 为 0.9722，Precision 为 0.9744，Recall 为 0.9762，F1 为 0.9743，说明该模型已经具备较强的分类能力，但整体仍略低于另外两种模型。XGBClassifier 与 RandomForestClassifier 在测试集上的 Accuracy、Precision、Recall 和 F1 均为 1.0000，表明二者都能够对三类样本实现完全区分，分类效果达到满分。就模型比较结果而言，XGBClassifier 与 RandomForestClassifier 并列最优，LGBMClassifier 次之。</w:t>
      </w:r>
    </w:p>
    <w:p>
      <w:pPr/>
      <w:r>
        <w:rPr>
          <w:rFonts w:ascii="Times New Roman" w:hAnsi="Times New Roman" w:eastAsia="Microsoft YaHei"/>
        </w:rPr>
        <w:t>在最优模型筛选环节，系统以 F1 作为判定依据，最终将 XGBClassifier 标记为 best_model，且其 F1 为 1.0000。尽管 RandomForestClassifier 的各项指标与 XGBClassifier 一致，但按照既定筛选规则，最终推荐模型仍确定为 XGBClassifier。由此可见，本次建模不仅完成了不同分类器之间的性能比较，也明确给出了后续使用的主模型选择结果。</w:t>
      </w:r>
    </w:p>
    <w:p>
      <w:pPr>
        <w:pStyle w:val="Heading2"/>
        <w:keepNext/>
      </w:pPr>
      <w:r>
        <w:rPr>
          <w:rFonts w:ascii="Times New Roman" w:hAnsi="Times New Roman" w:eastAsia="Microsoft YaHei"/>
        </w:rPr>
        <w:t>4.3 模型性能评估</w:t>
      </w:r>
    </w:p>
    <w:p>
      <w:pPr/>
      <w:r>
        <w:rPr>
          <w:rFonts w:ascii="Times New Roman" w:hAnsi="Times New Roman" w:eastAsia="Microsoft YaHei"/>
        </w:rPr>
        <w:t>本节对三分类模型的测试集表现进行进一步核验，重点关注 F1 指标、结果稳定性以及类别可分性。根据统一评估结果，LGBMClassifier 的 Accuracy 为 0.9722，Precision 为 0.9744，Recall 为 0.9762，F1 为 0.9743；XGBClassifier 的 Accuracy、Precision、Recall 和 F1 均为 1.0000；RandomForestClassifier 的 Accuracy、Precision、Recall 和 F1 也均为 1.0000。由于 F1 直接反映分类结果在精确率与召回率之间的综合平衡，因此从这一指标看，XGBClassifier 与 RandomForestClassifier 已达到当前任务下的最优水平，而 LGBMClassifier 则略低一档，但整体仍保持较高识别能力。</w:t>
      </w:r>
    </w:p>
    <w:p>
      <w:pPr>
        <w:pStyle w:val="ChatGPTTableTitle"/>
        <w:jc w:val="center"/>
      </w:pPr>
      <w:r>
        <w:rPr>
          <w:rFonts w:ascii="Times New Roman" w:hAnsi="Times New Roman" w:eastAsia="Microsoft YaHei"/>
        </w:rPr>
        <w:t>表1 不同模型在分类任务上的性能比较</w:t>
      </w:r>
    </w:p>
    <w:tbl>
      <w:tblPr>
        <w:tblW w:type="auto" w:w="0"/>
        <w:jc w:val="center"/>
        <w:tblLayout w:type="autofit"/>
        <w:tblLook w:firstColumn="1" w:firstRow="1" w:lastColumn="0" w:lastRow="0" w:noHBand="0" w:noVBand="1" w:val="04A0"/>
        <w:tblBorders>
          <w:top w:val="nil"/>
          <w:bottom w:val="nil"/>
          <w:left w:val="nil"/>
          <w:right w:val="nil"/>
          <w:insideH w:val="nil"/>
          <w:insideV w:val="nil"/>
        </w:tblBorders>
      </w:tblPr>
      <w:tblGrid>
        <w:gridCol w:w="1584"/>
        <w:gridCol w:w="1584"/>
        <w:gridCol w:w="1584"/>
        <w:gridCol w:w="1584"/>
        <w:gridCol w:w="1584"/>
        <w:gridCol w:w="1584"/>
      </w:tblGrid>
      <w:tr>
        <w:tc>
          <w:tcPr>
            <w:tcW w:type="dxa" w:w="1584"/>
            <w:tcBorders>
              <w:top w:val="single" w:sz="12" w:color="111827" w:space="0"/>
              <w:bottom w:val="single" w:sz="12" w:color="111827" w:space="0"/>
              <w:left w:val="nil"/>
              <w:right w:val="nil"/>
            </w:tcBorders>
          </w:tcPr>
          <w:p>
            <w:pPr>
              <w:spacing w:after="0"/>
              <w:jc w:val="center"/>
            </w:pPr>
            <w:r>
              <w:rPr>
                <w:rFonts w:ascii="Times New Roman" w:hAnsi="Times New Roman" w:eastAsia="Microsoft YaHei"/>
                <w:b/>
              </w:rPr>
              <w:t>方法/模型</w:t>
            </w:r>
          </w:p>
        </w:tc>
        <w:tc>
          <w:tcPr>
            <w:tcW w:type="dxa" w:w="1584"/>
            <w:tcBorders>
              <w:top w:val="single" w:sz="12" w:color="111827" w:space="0"/>
              <w:bottom w:val="single" w:sz="12" w:color="111827" w:space="0"/>
              <w:left w:val="nil"/>
              <w:right w:val="nil"/>
            </w:tcBorders>
          </w:tcPr>
          <w:p>
            <w:pPr>
              <w:spacing w:after="0"/>
              <w:jc w:val="center"/>
            </w:pPr>
            <w:r>
              <w:rPr>
                <w:rFonts w:ascii="Times New Roman" w:hAnsi="Times New Roman" w:eastAsia="Microsoft YaHei"/>
                <w:b/>
              </w:rPr>
              <w:t>type</w:t>
            </w:r>
          </w:p>
        </w:tc>
        <w:tc>
          <w:tcPr>
            <w:tcW w:type="dxa" w:w="1584"/>
            <w:tcBorders>
              <w:top w:val="single" w:sz="12" w:color="111827" w:space="0"/>
              <w:bottom w:val="single" w:sz="12" w:color="111827" w:space="0"/>
              <w:left w:val="nil"/>
              <w:right w:val="nil"/>
            </w:tcBorders>
          </w:tcPr>
          <w:p>
            <w:pPr>
              <w:spacing w:after="0"/>
              <w:jc w:val="center"/>
            </w:pPr>
            <w:r>
              <w:rPr>
                <w:rFonts w:ascii="Times New Roman" w:hAnsi="Times New Roman" w:eastAsia="Microsoft YaHei"/>
                <w:b/>
              </w:rPr>
              <w:t>准确率</w:t>
            </w:r>
          </w:p>
        </w:tc>
        <w:tc>
          <w:tcPr>
            <w:tcW w:type="dxa" w:w="1584"/>
            <w:tcBorders>
              <w:top w:val="single" w:sz="12" w:color="111827" w:space="0"/>
              <w:bottom w:val="single" w:sz="12" w:color="111827" w:space="0"/>
              <w:left w:val="nil"/>
              <w:right w:val="nil"/>
            </w:tcBorders>
          </w:tcPr>
          <w:p>
            <w:pPr>
              <w:spacing w:after="0"/>
              <w:jc w:val="center"/>
            </w:pPr>
            <w:r>
              <w:rPr>
                <w:rFonts w:ascii="Times New Roman" w:hAnsi="Times New Roman" w:eastAsia="Microsoft YaHei"/>
                <w:b/>
              </w:rPr>
              <w:t>精确率</w:t>
            </w:r>
          </w:p>
        </w:tc>
        <w:tc>
          <w:tcPr>
            <w:tcW w:type="dxa" w:w="1584"/>
            <w:tcBorders>
              <w:top w:val="single" w:sz="12" w:color="111827" w:space="0"/>
              <w:bottom w:val="single" w:sz="12" w:color="111827" w:space="0"/>
              <w:left w:val="nil"/>
              <w:right w:val="nil"/>
            </w:tcBorders>
          </w:tcPr>
          <w:p>
            <w:pPr>
              <w:spacing w:after="0"/>
              <w:jc w:val="center"/>
            </w:pPr>
            <w:r>
              <w:rPr>
                <w:rFonts w:ascii="Times New Roman" w:hAnsi="Times New Roman" w:eastAsia="Microsoft YaHei"/>
                <w:b/>
              </w:rPr>
              <w:t>召回率</w:t>
            </w:r>
          </w:p>
        </w:tc>
        <w:tc>
          <w:tcPr>
            <w:tcW w:type="dxa" w:w="1584"/>
            <w:tcBorders>
              <w:top w:val="single" w:sz="12" w:color="111827" w:space="0"/>
              <w:bottom w:val="single" w:sz="12" w:color="111827" w:space="0"/>
              <w:left w:val="nil"/>
              <w:right w:val="nil"/>
            </w:tcBorders>
          </w:tcPr>
          <w:p>
            <w:pPr>
              <w:spacing w:after="0"/>
              <w:jc w:val="center"/>
            </w:pPr>
            <w:r>
              <w:rPr>
                <w:rFonts w:ascii="Times New Roman" w:hAnsi="Times New Roman" w:eastAsia="Microsoft YaHei"/>
                <w:b/>
              </w:rPr>
              <w:t>F1值</w:t>
            </w:r>
          </w:p>
        </w:tc>
      </w:tr>
      <w:tr>
        <w:tc>
          <w:tcPr>
            <w:tcW w:type="dxa" w:w="1584"/>
            <w:tcBorders>
              <w:top w:val="nil"/>
              <w:bottom w:val="nil"/>
              <w:left w:val="nil"/>
              <w:right w:val="nil"/>
            </w:tcBorders>
          </w:tcPr>
          <w:p>
            <w:pPr>
              <w:spacing w:after="0"/>
              <w:jc w:val="center"/>
            </w:pPr>
            <w:r>
              <w:rPr>
                <w:rFonts w:ascii="Times New Roman" w:hAnsi="Times New Roman" w:eastAsia="Microsoft YaHei"/>
              </w:rPr>
              <w:t>LGBMClassifier</w:t>
            </w:r>
          </w:p>
        </w:tc>
        <w:tc>
          <w:tcPr>
            <w:tcW w:type="dxa" w:w="1584"/>
            <w:tcBorders>
              <w:top w:val="nil"/>
              <w:bottom w:val="nil"/>
              <w:left w:val="nil"/>
              <w:right w:val="nil"/>
            </w:tcBorders>
          </w:tcPr>
          <w:p>
            <w:pPr>
              <w:spacing w:after="0"/>
              <w:jc w:val="center"/>
            </w:pPr>
            <w:r>
              <w:rPr>
                <w:rFonts w:ascii="Times New Roman" w:hAnsi="Times New Roman" w:eastAsia="Microsoft YaHei"/>
              </w:rPr>
              <w:t>classification</w:t>
            </w:r>
          </w:p>
        </w:tc>
        <w:tc>
          <w:tcPr>
            <w:tcW w:type="dxa" w:w="1584"/>
            <w:tcBorders>
              <w:top w:val="nil"/>
              <w:bottom w:val="nil"/>
              <w:left w:val="nil"/>
              <w:right w:val="nil"/>
            </w:tcBorders>
          </w:tcPr>
          <w:p>
            <w:pPr>
              <w:spacing w:after="0"/>
              <w:jc w:val="center"/>
            </w:pPr>
            <w:r>
              <w:rPr>
                <w:rFonts w:ascii="Times New Roman" w:hAnsi="Times New Roman" w:eastAsia="Microsoft YaHei"/>
              </w:rPr>
              <w:t>0.9722</w:t>
            </w:r>
          </w:p>
        </w:tc>
        <w:tc>
          <w:tcPr>
            <w:tcW w:type="dxa" w:w="1584"/>
            <w:tcBorders>
              <w:top w:val="nil"/>
              <w:bottom w:val="nil"/>
              <w:left w:val="nil"/>
              <w:right w:val="nil"/>
            </w:tcBorders>
          </w:tcPr>
          <w:p>
            <w:pPr>
              <w:spacing w:after="0"/>
              <w:jc w:val="center"/>
            </w:pPr>
            <w:r>
              <w:rPr>
                <w:rFonts w:ascii="Times New Roman" w:hAnsi="Times New Roman" w:eastAsia="Microsoft YaHei"/>
              </w:rPr>
              <w:t>0.9744</w:t>
            </w:r>
          </w:p>
        </w:tc>
        <w:tc>
          <w:tcPr>
            <w:tcW w:type="dxa" w:w="1584"/>
            <w:tcBorders>
              <w:top w:val="nil"/>
              <w:bottom w:val="nil"/>
              <w:left w:val="nil"/>
              <w:right w:val="nil"/>
            </w:tcBorders>
          </w:tcPr>
          <w:p>
            <w:pPr>
              <w:spacing w:after="0"/>
              <w:jc w:val="center"/>
            </w:pPr>
            <w:r>
              <w:rPr>
                <w:rFonts w:ascii="Times New Roman" w:hAnsi="Times New Roman" w:eastAsia="Microsoft YaHei"/>
              </w:rPr>
              <w:t>0.9762</w:t>
            </w:r>
          </w:p>
        </w:tc>
        <w:tc>
          <w:tcPr>
            <w:tcW w:type="dxa" w:w="1584"/>
            <w:tcBorders>
              <w:top w:val="nil"/>
              <w:bottom w:val="nil"/>
              <w:left w:val="nil"/>
              <w:right w:val="nil"/>
            </w:tcBorders>
          </w:tcPr>
          <w:p>
            <w:pPr>
              <w:spacing w:after="0"/>
              <w:jc w:val="center"/>
            </w:pPr>
            <w:r>
              <w:rPr>
                <w:rFonts w:ascii="Times New Roman" w:hAnsi="Times New Roman" w:eastAsia="Microsoft YaHei"/>
              </w:rPr>
              <w:t>0.9743</w:t>
            </w:r>
          </w:p>
        </w:tc>
      </w:tr>
      <w:tr>
        <w:tc>
          <w:tcPr>
            <w:tcW w:type="dxa" w:w="1584"/>
            <w:tcBorders>
              <w:top w:val="nil"/>
              <w:bottom w:val="nil"/>
              <w:left w:val="nil"/>
              <w:right w:val="nil"/>
            </w:tcBorders>
          </w:tcPr>
          <w:p>
            <w:pPr>
              <w:spacing w:after="0"/>
              <w:jc w:val="center"/>
            </w:pPr>
            <w:r>
              <w:rPr>
                <w:rFonts w:ascii="Times New Roman" w:hAnsi="Times New Roman" w:eastAsia="Microsoft YaHei"/>
              </w:rPr>
              <w:t>XGBClassifier</w:t>
            </w:r>
          </w:p>
        </w:tc>
        <w:tc>
          <w:tcPr>
            <w:tcW w:type="dxa" w:w="1584"/>
            <w:tcBorders>
              <w:top w:val="nil"/>
              <w:bottom w:val="nil"/>
              <w:left w:val="nil"/>
              <w:right w:val="nil"/>
            </w:tcBorders>
          </w:tcPr>
          <w:p>
            <w:pPr>
              <w:spacing w:after="0"/>
              <w:jc w:val="center"/>
            </w:pPr>
            <w:r>
              <w:rPr>
                <w:rFonts w:ascii="Times New Roman" w:hAnsi="Times New Roman" w:eastAsia="Microsoft YaHei"/>
              </w:rPr>
              <w:t>classification</w:t>
            </w:r>
          </w:p>
        </w:tc>
        <w:tc>
          <w:tcPr>
            <w:tcW w:type="dxa" w:w="1584"/>
            <w:tcBorders>
              <w:top w:val="nil"/>
              <w:bottom w:val="nil"/>
              <w:left w:val="nil"/>
              <w:right w:val="nil"/>
            </w:tcBorders>
          </w:tcPr>
          <w:p>
            <w:pPr>
              <w:spacing w:after="0"/>
              <w:jc w:val="center"/>
            </w:pPr>
            <w:r>
              <w:rPr>
                <w:rFonts w:ascii="Times New Roman" w:hAnsi="Times New Roman" w:eastAsia="Microsoft YaHei"/>
              </w:rPr>
              <w:t>1.0000（最优）</w:t>
            </w:r>
          </w:p>
        </w:tc>
        <w:tc>
          <w:tcPr>
            <w:tcW w:type="dxa" w:w="1584"/>
            <w:tcBorders>
              <w:top w:val="nil"/>
              <w:bottom w:val="nil"/>
              <w:left w:val="nil"/>
              <w:right w:val="nil"/>
            </w:tcBorders>
          </w:tcPr>
          <w:p>
            <w:pPr>
              <w:spacing w:after="0"/>
              <w:jc w:val="center"/>
            </w:pPr>
            <w:r>
              <w:rPr>
                <w:rFonts w:ascii="Times New Roman" w:hAnsi="Times New Roman" w:eastAsia="Microsoft YaHei"/>
              </w:rPr>
              <w:t>1.0000（最优）</w:t>
            </w:r>
          </w:p>
        </w:tc>
        <w:tc>
          <w:tcPr>
            <w:tcW w:type="dxa" w:w="1584"/>
            <w:tcBorders>
              <w:top w:val="nil"/>
              <w:bottom w:val="nil"/>
              <w:left w:val="nil"/>
              <w:right w:val="nil"/>
            </w:tcBorders>
          </w:tcPr>
          <w:p>
            <w:pPr>
              <w:spacing w:after="0"/>
              <w:jc w:val="center"/>
            </w:pPr>
            <w:r>
              <w:rPr>
                <w:rFonts w:ascii="Times New Roman" w:hAnsi="Times New Roman" w:eastAsia="Microsoft YaHei"/>
              </w:rPr>
              <w:t>1.0000（最优）</w:t>
            </w:r>
          </w:p>
        </w:tc>
        <w:tc>
          <w:tcPr>
            <w:tcW w:type="dxa" w:w="1584"/>
            <w:tcBorders>
              <w:top w:val="nil"/>
              <w:bottom w:val="nil"/>
              <w:left w:val="nil"/>
              <w:right w:val="nil"/>
            </w:tcBorders>
          </w:tcPr>
          <w:p>
            <w:pPr>
              <w:spacing w:after="0"/>
              <w:jc w:val="center"/>
            </w:pPr>
            <w:r>
              <w:rPr>
                <w:rFonts w:ascii="Times New Roman" w:hAnsi="Times New Roman" w:eastAsia="Microsoft YaHei"/>
              </w:rPr>
              <w:t>1.0000（最优）</w:t>
            </w:r>
          </w:p>
        </w:tc>
      </w:tr>
      <w:tr>
        <w:tc>
          <w:tcPr>
            <w:tcW w:type="dxa" w:w="1584"/>
            <w:tcBorders>
              <w:top w:val="nil"/>
              <w:bottom w:val="single" w:sz="12" w:color="111827" w:space="0"/>
              <w:left w:val="nil"/>
              <w:right w:val="nil"/>
            </w:tcBorders>
          </w:tcPr>
          <w:p>
            <w:pPr>
              <w:spacing w:after="0"/>
              <w:jc w:val="center"/>
            </w:pPr>
            <w:r>
              <w:rPr>
                <w:rFonts w:ascii="Times New Roman" w:hAnsi="Times New Roman" w:eastAsia="Microsoft YaHei"/>
              </w:rPr>
              <w:t>RandomForestClassifier</w:t>
            </w:r>
          </w:p>
        </w:tc>
        <w:tc>
          <w:tcPr>
            <w:tcW w:type="dxa" w:w="1584"/>
            <w:tcBorders>
              <w:top w:val="nil"/>
              <w:bottom w:val="single" w:sz="12" w:color="111827" w:space="0"/>
              <w:left w:val="nil"/>
              <w:right w:val="nil"/>
            </w:tcBorders>
          </w:tcPr>
          <w:p>
            <w:pPr>
              <w:spacing w:after="0"/>
              <w:jc w:val="center"/>
            </w:pPr>
            <w:r>
              <w:rPr>
                <w:rFonts w:ascii="Times New Roman" w:hAnsi="Times New Roman" w:eastAsia="Microsoft YaHei"/>
              </w:rPr>
              <w:t>classification</w:t>
            </w:r>
          </w:p>
        </w:tc>
        <w:tc>
          <w:tcPr>
            <w:tcW w:type="dxa" w:w="1584"/>
            <w:tcBorders>
              <w:top w:val="nil"/>
              <w:bottom w:val="single" w:sz="12" w:color="111827" w:space="0"/>
              <w:left w:val="nil"/>
              <w:right w:val="nil"/>
            </w:tcBorders>
          </w:tcPr>
          <w:p>
            <w:pPr>
              <w:spacing w:after="0"/>
              <w:jc w:val="center"/>
            </w:pPr>
            <w:r>
              <w:rPr>
                <w:rFonts w:ascii="Times New Roman" w:hAnsi="Times New Roman" w:eastAsia="Microsoft YaHei"/>
              </w:rPr>
              <w:t>1.0000（最优）</w:t>
            </w:r>
          </w:p>
        </w:tc>
        <w:tc>
          <w:tcPr>
            <w:tcW w:type="dxa" w:w="1584"/>
            <w:tcBorders>
              <w:top w:val="nil"/>
              <w:bottom w:val="single" w:sz="12" w:color="111827" w:space="0"/>
              <w:left w:val="nil"/>
              <w:right w:val="nil"/>
            </w:tcBorders>
          </w:tcPr>
          <w:p>
            <w:pPr>
              <w:spacing w:after="0"/>
              <w:jc w:val="center"/>
            </w:pPr>
            <w:r>
              <w:rPr>
                <w:rFonts w:ascii="Times New Roman" w:hAnsi="Times New Roman" w:eastAsia="Microsoft YaHei"/>
              </w:rPr>
              <w:t>1.0000（最优）</w:t>
            </w:r>
          </w:p>
        </w:tc>
        <w:tc>
          <w:tcPr>
            <w:tcW w:type="dxa" w:w="1584"/>
            <w:tcBorders>
              <w:top w:val="nil"/>
              <w:bottom w:val="single" w:sz="12" w:color="111827" w:space="0"/>
              <w:left w:val="nil"/>
              <w:right w:val="nil"/>
            </w:tcBorders>
          </w:tcPr>
          <w:p>
            <w:pPr>
              <w:spacing w:after="0"/>
              <w:jc w:val="center"/>
            </w:pPr>
            <w:r>
              <w:rPr>
                <w:rFonts w:ascii="Times New Roman" w:hAnsi="Times New Roman" w:eastAsia="Microsoft YaHei"/>
              </w:rPr>
              <w:t>1.0000（最优）</w:t>
            </w:r>
          </w:p>
        </w:tc>
        <w:tc>
          <w:tcPr>
            <w:tcW w:type="dxa" w:w="1584"/>
            <w:tcBorders>
              <w:top w:val="nil"/>
              <w:bottom w:val="single" w:sz="12" w:color="111827" w:space="0"/>
              <w:left w:val="nil"/>
              <w:right w:val="nil"/>
            </w:tcBorders>
          </w:tcPr>
          <w:p>
            <w:pPr>
              <w:spacing w:after="0"/>
              <w:jc w:val="center"/>
            </w:pPr>
            <w:r>
              <w:rPr>
                <w:rFonts w:ascii="Times New Roman" w:hAnsi="Times New Roman" w:eastAsia="Microsoft YaHei"/>
              </w:rPr>
              <w:t>1.0000（最优）</w:t>
            </w:r>
          </w:p>
        </w:tc>
      </w:tr>
    </w:tbl>
    <w:p/>
    <w:p>
      <w:pPr/>
      <w:r>
        <w:rPr>
          <w:rFonts w:ascii="Times New Roman" w:hAnsi="Times New Roman" w:eastAsia="Microsoft YaHei"/>
        </w:rPr>
        <w:t>结合训练集与测试集划分来看，这组三分类任务在当前特征体系下具有较强可分性。三种模型中，LGBMClassifier 已能取得接近满分的表现，而 XGBClassifier 与 RandomForestClassifier 在测试集上同时达到满分，说明模型并未仅在单一指标上占优，而是在整体分类判断上保持了一致的高水平输出。这样的结果表明，当前数据中的判别信息较为充分，不同类别之间存在较清晰的分界，模型可以较稳定地学习到类别差异。</w:t>
      </w:r>
    </w:p>
    <w:p>
      <w:pPr/>
      <w:r>
        <w:rPr>
          <w:rFonts w:ascii="Times New Roman" w:hAnsi="Times New Roman" w:eastAsia="Microsoft YaHei"/>
        </w:rPr>
        <w:t>在最优模型选择上，系统以 F1 作为判定依据，将 XGBClassifier 标记为 best_model，且其 F1 为 1.0000。尽管 RandomForestClassifier 的各项指标与 XGBClassifier 一致，但最终推荐模型仍按照既定规则确定为 XGBClassifier。这一结果说明，本次建模流程不仅完成了模型性能比较，也明确给出了后续可直接使用的主模型选择结果。</w:t>
      </w:r>
    </w:p>
    <w:p>
      <w:pPr>
        <w:pStyle w:val="Heading1"/>
        <w:keepNext/>
      </w:pPr>
      <w:r>
        <w:rPr>
          <w:rFonts w:ascii="Times New Roman" w:hAnsi="Times New Roman" w:eastAsia="Microsoft YaHei"/>
        </w:rPr>
        <w:t>5 结论与应用展望</w:t>
      </w:r>
    </w:p>
    <w:p>
      <w:pPr/>
      <w:r>
        <w:rPr>
          <w:rFonts w:ascii="Times New Roman" w:hAnsi="Times New Roman" w:eastAsia="Microsoft YaHei"/>
        </w:rPr>
        <w:t>综合前述数据概览、预处理、可视化分析与模型评估结果可以看出，这份三分类葡萄酒数据在当前特征体系下具有较强的可分性。原始数据共 178 条样本、14 个字段，其中 `class` 作为类别标签，其余 13 个字段均为数值型理化指标；经过清洗与标准化处理后，数据结构保持完整，未出现特征维度膨胀，说明样本信息能够较稳定地进入后续分析流程。可视化结果进一步表明，`alcohol`、`color_intensity`、`proline`、`hue` 以及酚类相关指标在不同类别间存在明显差异，尤其是 `flavanoids`、`proline`、`od280_od315_of_diluted_wines` 和 `alcohol` 等变量，对类别区分具有较强贡献；相关性分析也显示，酒精度、总酚、类黄酮、`od280_od315_of_diluted_wines` 与 `proline` 之间存在较明显的联动关系，说明这些指标共同构成了区分三类样本的核心信息。</w:t>
      </w:r>
    </w:p>
    <w:p>
      <w:pPr/>
      <w:r>
        <w:rPr>
          <w:rFonts w:ascii="Times New Roman" w:hAnsi="Times New Roman" w:eastAsia="Microsoft YaHei"/>
        </w:rPr>
        <w:t>在模型层面，三种分类器的测试集表现进一步验证了数据的高可分性。LGBMClassifier 的 Accuracy 为 0.9722，Precision 为 0.9744，Recall 为 0.9762，F1 为 0.9743，已经具备较强的识别能力；XGBClassifier 与 RandomForestClassifier 在测试集上的 Accuracy、Precision、Recall 和 F1 均为 1.0000，表明两者都能对三类样本实现完整区分。按既定规则以 F1 作为最优模型判定依据，最终将 XGBClassifier 选为 best_model，且其 F1 为 1.0000。由此可以认为，本次建模不仅完成了对三类葡萄酒样本的精准分类，也筛选出了可直接用于后续应用的主模型。</w:t>
      </w:r>
    </w:p>
    <w:p>
      <w:pPr/>
      <w:r>
        <w:rPr>
          <w:rFonts w:ascii="Times New Roman" w:hAnsi="Times New Roman" w:eastAsia="Microsoft YaHei"/>
        </w:rPr>
        <w:t>从应用角度看，这一结果说明当前指标体系已经能够有效支撑葡萄酒类别识别，可进一步用于样本分型、质量分级和原料筛选等场景。对于实际业务而言，`flavanoids`、`color_intensity`、`proline`、`od280_od315_of_diluted_wines` 和 `alcohol` 等关键特征可作为优先关注的判别指标，用于构建更轻量、更可解释的识别规则；同时，XGBClassifier 作为最终推荐模型，也具备在相同特征条件下部署到自动化分类流程中的可行性。后续若要提升应用价值，可在更多批次样本上继续验证模型稳定性，并结合新的工艺或产地数据扩展特征空间，以检验该模型在更复杂场景中的泛化能力。</w:t>
      </w:r>
    </w:p>
    <w:p>
      <w:pPr>
        <w:pStyle w:val="Heading2"/>
        <w:keepNext/>
      </w:pPr>
      <w:r>
        <w:rPr>
          <w:rFonts w:ascii="Times New Roman" w:hAnsi="Times New Roman" w:eastAsia="Microsoft YaHei"/>
        </w:rPr>
        <w:t>5.1 主要分析结论</w:t>
      </w:r>
    </w:p>
    <w:p>
      <w:pPr/>
      <w:r>
        <w:rPr>
          <w:rFonts w:ascii="Times New Roman" w:hAnsi="Times New Roman" w:eastAsia="Microsoft YaHei"/>
        </w:rPr>
        <w:t>综合前述数据概览、预处理、可视化分析与模型评估结果可以看出，这份三分类葡萄酒数据在当前特征体系下具有较强的可分性。原始数据共 178 条样本、14 个字段，其中 `class` 作为类别标签，其余 13 个字段均为数值型理化指标；经过清洗与标准化处理后，数据结构保持完整，未出现特征维度膨胀，说明样本信息能够较稳定地进入后续分析流程。可视化结果进一步表明，`alcohol`、`color_intensity`、`proline`、`hue` 以及酚类相关指标在不同类别间存在明显差异，尤其是 `flavanoids`、`proline`、`od280_od315_of_diluted_wines` 和 `alcohol` 等变量，对类别区分具有较强贡献；相关性分析也显示，酒精度、总酚、类黄酮、`od280_od315_of_diluted_wines` 与 `proline` 之间存在较明显的联动关系，说明这些指标共同构成了区分三类样本的核心信息。</w:t>
      </w:r>
    </w:p>
    <w:p>
      <w:pPr>
        <w:spacing w:before="200" w:after="80"/>
        <w:jc w:val="center"/>
      </w:pPr>
      <w:r>
        <w:drawing>
          <wp:inline xmlns:a="http://schemas.openxmlformats.org/drawingml/2006/main" xmlns:pic="http://schemas.openxmlformats.org/drawingml/2006/picture">
            <wp:extent cx="3291839" cy="2116182"/>
            <wp:docPr id="10" name="Picture 10"/>
            <wp:cNvGraphicFramePr>
              <a:graphicFrameLocks noChangeAspect="1"/>
            </wp:cNvGraphicFramePr>
            <a:graphic>
              <a:graphicData uri="http://schemas.openxmlformats.org/drawingml/2006/picture">
                <pic:pic>
                  <pic:nvPicPr>
                    <pic:cNvPr id="0" name="image.png"/>
                    <pic:cNvPicPr/>
                  </pic:nvPicPr>
                  <pic:blipFill>
                    <a:blip r:embed="rId18"/>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图10 三类样本多变量分离特征</w:t>
      </w:r>
    </w:p>
    <w:p>
      <w:pPr/>
      <w:r>
        <w:rPr>
          <w:rFonts w:ascii="Times New Roman" w:hAnsi="Times New Roman" w:eastAsia="Microsoft YaHei"/>
        </w:rPr>
        <w:t>从样本空间的分离情况看，三类葡萄酒在多变量空间中已经形成较清晰的分层结构，不同类别之间并非随机混合，而是表现出较稳定的簇状分布， 这一特征与前述关键变量的差异方向是一致的，说明类别标签能够被若干理化指标有效支撑。进一步结合 `alcohol` 与 `color_intensity` 的关系可以发现，两者整体呈正相关，且三类样本在该二维空间中也表现出较明显的层次差异：`class` 1 整体偏低且分布更分散，`class` 2 居中，`class` 3 多集中在较高色强区域， 这表明酒精度与颜色强度的组合对样本分层具有直观而稳定的解释力。</w:t>
      </w:r>
    </w:p>
    <w:p>
      <w:pPr>
        <w:spacing w:before="200" w:after="80"/>
        <w:jc w:val="center"/>
      </w:pPr>
      <w:r>
        <w:drawing>
          <wp:inline xmlns:a="http://schemas.openxmlformats.org/drawingml/2006/main" xmlns:pic="http://schemas.openxmlformats.org/drawingml/2006/picture">
            <wp:extent cx="3291839" cy="2116182"/>
            <wp:docPr id="11" name="Picture 11"/>
            <wp:cNvGraphicFramePr>
              <a:graphicFrameLocks noChangeAspect="1"/>
            </wp:cNvGraphicFramePr>
            <a:graphic>
              <a:graphicData uri="http://schemas.openxmlformats.org/drawingml/2006/picture">
                <pic:pic>
                  <pic:nvPicPr>
                    <pic:cNvPr id="0" name="image.png"/>
                    <pic:cNvPicPr/>
                  </pic:nvPicPr>
                  <pic:blipFill>
                    <a:blip r:embed="rId19"/>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图11 酒精与颜色强度关系</w:t>
      </w:r>
    </w:p>
    <w:p>
      <w:pPr/>
      <w:r>
        <w:rPr>
          <w:rFonts w:ascii="Times New Roman" w:hAnsi="Times New Roman" w:eastAsia="Microsoft YaHei"/>
        </w:rPr>
        <w:t>在模型层面，三种分类器的测试集表现进一步验证了数据的高可分性。LGBMClassifier 的 Accuracy 为 0.9722，Precision 为 0.9744，Recall 为 0.9762，F1 为 0.9743，已经具备较强的识别能力；XGBClassifier 与 RandomForestClassifier 在测试集上的 Accuracy、Precision、Recall 和 F1 均为 1.0000，表明两者都能对三类样本实现完整区分。按既定规则以 F1 作为最优模型判定依据，最终将 XGBClassifier 选为 best_model，且其 F1 为 1.0000。由此可以认为，本次建模不仅完成了对三类葡萄酒样本的精准分类，也筛选出了可直接用于后续应用的主模型。</w:t>
      </w:r>
    </w:p>
    <w:p>
      <w:pPr>
        <w:pStyle w:val="Heading2"/>
        <w:keepNext/>
      </w:pPr>
      <w:r>
        <w:rPr>
          <w:rFonts w:ascii="Times New Roman" w:hAnsi="Times New Roman" w:eastAsia="Microsoft YaHei"/>
        </w:rPr>
        <w:t>5.2 应用价值展望</w:t>
      </w:r>
    </w:p>
    <w:p>
      <w:pPr/>
      <w:r>
        <w:rPr>
          <w:rFonts w:ascii="Times New Roman" w:hAnsi="Times New Roman" w:eastAsia="Microsoft YaHei"/>
        </w:rPr>
        <w:t>从应用角度看，这组葡萄酒数据已经能够支持较为可靠的质量识别与类别判定。样本规模为 178 条、特征维度保持在 13 个原始理化指标，且在清洗、标准化和类别编码后仍保留了完整的变量语义，这意味着模型输出不仅适合用于实验性分类，也具备直接嵌入后续分析流程的基础。结合前述可视化与建模结果可以看到，酒精度、颜色强度、酚类物质和 Proline 等指标对类别区分贡献较大，其中 `flavanoids`、`color_intensity`、`proline`、`od280_od315_of_diluted_wines` 与 `alcohol` 等变量尤为关键；这表明葡萄酒质量识别并不依赖单一指标，而更适合通过多指标联动来判断样本所处类别及其理化特征层次。</w:t>
      </w:r>
    </w:p>
    <w:p>
      <w:pPr/>
      <w:r>
        <w:rPr>
          <w:rFonts w:ascii="Times New Roman" w:hAnsi="Times New Roman" w:eastAsia="Microsoft YaHei"/>
        </w:rPr>
        <w:t>在实际应用中，这种结果可为葡萄酒分级、原料筛选和质量控制提供较直接的参考。对于生产或检测环节而言，若已知样本在 `alcohol`、`color_intensity`、`flavanoids`、`proline` 等指标上的组合特征，就可以借助已训练好的分类模型快速完成初步归类，从而减少人工判读成本，并提升样本识别的一致性。尤其是当不同类别在多变量空间中呈现较清晰分层时，模型不仅可以输出类别结果，也可以辅助识别哪些样本更接近边界区域，进而作为进一步复检或工艺追踪的重点对象。</w:t>
      </w:r>
    </w:p>
    <w:p>
      <w:pPr/>
      <w:r>
        <w:rPr>
          <w:rFonts w:ascii="Times New Roman" w:hAnsi="Times New Roman" w:eastAsia="Microsoft YaHei"/>
        </w:rPr>
        <w:t>从模型使用价值来看，XGBClassifier 已在测试集上取得 Accuracy、Precision、Recall 和 F1 全部为 1.0000，且按 F1 规则被选为 best_model，这说明当前特征体系下的分类器已经具备较强的落地可用性。与此同时，RandomForestClassifier 也取得了同样的满分结果，进一步说明该任务在现有数据划分与特征表达下具有较高可分性。因此，在后续部署时，可以优先将 XGBClassifier 作为主模型，用于批量样本的自动识别；若需要更关注模型解释性与特征贡献排序，也可结合随机森林的重要性结果，对关键指标进行持续监控。</w:t>
      </w:r>
    </w:p>
    <w:p>
      <w:pPr/>
      <w:r>
        <w:rPr>
          <w:rFonts w:ascii="Times New Roman" w:hAnsi="Times New Roman" w:eastAsia="Microsoft YaHei"/>
        </w:rPr>
        <w:t>不过，这一结果并不意味着应用层面已经没有改进空间。当前分析所依赖的数据规模相对有限，且特征主要集中于理化指标，后续若要提升模型的泛化能力，仍可从两个方向继续优化：一是扩充样本来源，增加不同批次、不同产区或不同年份的数据，以检验模型在更复杂场景下的稳定性；二是进一步细化特征工程，例如围绕酚类、色度和酒精相关指标构造交互特征，或在保持原有语义的前提下尝试更稳健的异常值处理与分布变换，从而增强模型对边缘样本的区分能力。对于生产应用而言，这类优化有助于将当前的高准确识别结果转化为更稳健、更可迁移的质量识别能力。</w:t>
      </w:r>
    </w:p>
    <w:sectPr w:rsidR="00FC693F" w:rsidRPr="0006063C" w:rsidSect="00034616">
      <w:pgSz w:w="12240" w:h="15840"/>
      <w:pgMar w:top="1296" w:right="1368" w:bottom="1296" w:left="13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60" w:lineRule="auto" w:before="0" w:after="160"/>
    </w:pPr>
    <w:rPr>
      <w:rFonts w:ascii="Times New Roman" w:hAnsi="Times New Roman" w:eastAsia="Microsoft YaHei"/>
      <w:color w:val="1F2937"/>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20"/>
      <w:outlineLvl w:val="0"/>
    </w:pPr>
    <w:rPr>
      <w:rFonts w:asciiTheme="majorHAnsi" w:eastAsiaTheme="majorEastAsia" w:hAnsiTheme="majorHAnsi" w:cstheme="majorBidi" w:ascii="Times New Roman" w:hAnsi="Times New Roman" w:eastAsia="Microsoft YaHei"/>
      <w:b/>
      <w:bCs/>
      <w:color w:val="111827"/>
      <w:sz w:val="36"/>
      <w:szCs w:val="28"/>
    </w:rPr>
  </w:style>
  <w:style w:type="paragraph" w:styleId="Heading2">
    <w:name w:val="heading 2"/>
    <w:basedOn w:val="Normal"/>
    <w:next w:val="Normal"/>
    <w:link w:val="Heading2Char"/>
    <w:uiPriority w:val="9"/>
    <w:unhideWhenUsed/>
    <w:qFormat/>
    <w:rsid w:val="00FC693F"/>
    <w:pPr>
      <w:keepNext/>
      <w:keepLines/>
      <w:spacing w:before="280" w:after="120"/>
      <w:outlineLvl w:val="1"/>
    </w:pPr>
    <w:rPr>
      <w:rFonts w:asciiTheme="majorHAnsi" w:eastAsiaTheme="majorEastAsia" w:hAnsiTheme="majorHAnsi" w:cstheme="majorBidi" w:ascii="Times New Roman" w:hAnsi="Times New Roman" w:eastAsia="Microsoft YaHei"/>
      <w:b/>
      <w:bCs/>
      <w:color w:val="111827"/>
      <w:sz w:val="30"/>
      <w:szCs w:val="26"/>
    </w:rPr>
  </w:style>
  <w:style w:type="paragraph" w:styleId="Heading3">
    <w:name w:val="heading 3"/>
    <w:basedOn w:val="Normal"/>
    <w:next w:val="Normal"/>
    <w:link w:val="Heading3Char"/>
    <w:uiPriority w:val="9"/>
    <w:unhideWhenUsed/>
    <w:qFormat/>
    <w:rsid w:val="00FC693F"/>
    <w:pPr>
      <w:keepNext/>
      <w:keepLines/>
      <w:spacing w:before="280" w:after="120"/>
      <w:outlineLvl w:val="2"/>
    </w:pPr>
    <w:rPr>
      <w:rFonts w:asciiTheme="majorHAnsi" w:eastAsiaTheme="majorEastAsia" w:hAnsiTheme="majorHAnsi" w:cstheme="majorBidi" w:ascii="Times New Roman" w:hAnsi="Times New Roman" w:eastAsia="Microsoft YaHei"/>
      <w:b/>
      <w:bCs/>
      <w:color w:val="111827"/>
      <w:sz w:val="26"/>
    </w:rPr>
  </w:style>
  <w:style w:type="paragraph" w:styleId="Heading4">
    <w:name w:val="heading 4"/>
    <w:basedOn w:val="Normal"/>
    <w:next w:val="Normal"/>
    <w:link w:val="Heading4Char"/>
    <w:uiPriority w:val="9"/>
    <w:semiHidden/>
    <w:unhideWhenUsed/>
    <w:qFormat/>
    <w:rsid w:val="00FC693F"/>
    <w:pPr>
      <w:keepNext/>
      <w:keepLines/>
      <w:spacing w:before="280" w:after="120"/>
      <w:outlineLvl w:val="3"/>
    </w:pPr>
    <w:rPr>
      <w:rFonts w:asciiTheme="majorHAnsi" w:eastAsiaTheme="majorEastAsia" w:hAnsiTheme="majorHAnsi" w:cstheme="majorBidi" w:ascii="Times New Roman" w:hAnsi="Times New Roman" w:eastAsia="Microsoft YaHei"/>
      <w:b/>
      <w:bCs/>
      <w:i/>
      <w:iCs/>
      <w:color w:val="111827"/>
      <w:sz w:val="24"/>
    </w:rPr>
  </w:style>
  <w:style w:type="paragraph" w:styleId="Heading5">
    <w:name w:val="heading 5"/>
    <w:basedOn w:val="Normal"/>
    <w:next w:val="Normal"/>
    <w:link w:val="Heading5Char"/>
    <w:uiPriority w:val="9"/>
    <w:semiHidden/>
    <w:unhideWhenUsed/>
    <w:qFormat/>
    <w:rsid w:val="00FC693F"/>
    <w:pPr>
      <w:keepNext/>
      <w:keepLines/>
      <w:spacing w:before="280" w:after="120"/>
      <w:outlineLvl w:val="4"/>
    </w:pPr>
    <w:rPr>
      <w:rFonts w:asciiTheme="majorHAnsi" w:eastAsiaTheme="majorEastAsia" w:hAnsiTheme="majorHAnsi" w:cstheme="majorBidi" w:ascii="Times New Roman" w:hAnsi="Times New Roman" w:eastAsia="Microsoft YaHei"/>
      <w:b/>
      <w:color w:val="111827"/>
      <w:sz w:val="22"/>
    </w:rPr>
  </w:style>
  <w:style w:type="paragraph" w:styleId="Heading6">
    <w:name w:val="heading 6"/>
    <w:basedOn w:val="Normal"/>
    <w:next w:val="Normal"/>
    <w:link w:val="Heading6Char"/>
    <w:uiPriority w:val="9"/>
    <w:semiHidden/>
    <w:unhideWhenUsed/>
    <w:qFormat/>
    <w:rsid w:val="00FC693F"/>
    <w:pPr>
      <w:keepNext/>
      <w:keepLines/>
      <w:spacing w:before="280" w:after="120"/>
      <w:outlineLvl w:val="5"/>
    </w:pPr>
    <w:rPr>
      <w:rFonts w:asciiTheme="majorHAnsi" w:eastAsiaTheme="majorEastAsia" w:hAnsiTheme="majorHAnsi" w:cstheme="majorBidi" w:ascii="Times New Roman" w:hAnsi="Times New Roman" w:eastAsia="Microsoft YaHei"/>
      <w:b/>
      <w:i/>
      <w:iCs/>
      <w:color w:val="111827"/>
      <w:sz w:val="22"/>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360" w:line="240" w:lineRule="auto" w:before="0"/>
      <w:contextualSpacing/>
      <w:jc w:val="left"/>
    </w:pPr>
    <w:rPr>
      <w:rFonts w:asciiTheme="majorHAnsi" w:eastAsiaTheme="majorEastAsia" w:hAnsiTheme="majorHAnsi" w:cstheme="majorBidi" w:ascii="Times New Roman" w:hAnsi="Times New Roman" w:eastAsia="Microsoft YaHei"/>
      <w:b/>
      <w:color w:val="111827"/>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line="324" w:lineRule="auto" w:after="80"/>
      <w:contextualSpacing/>
    </w:pPr>
    <w:rPr>
      <w:rFonts w:ascii="Times New Roman" w:hAnsi="Times New Roman" w:eastAsia="Microsoft YaHei"/>
      <w:color w:val="1F2937"/>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line="324" w:lineRule="auto" w:after="80"/>
      <w:contextualSpacing/>
    </w:pPr>
    <w:rPr>
      <w:rFonts w:ascii="Times New Roman" w:hAnsi="Times New Roman" w:eastAsia="Microsoft YaHei"/>
      <w:color w:val="1F2937"/>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hatGPTCode">
    <w:name w:val="ChatGPT Code"/>
    <w:basedOn w:val="Normal"/>
    <w:pPr>
      <w:spacing w:line="276" w:lineRule="auto" w:before="120" w:after="120"/>
      <w:ind w:left="288" w:right="72"/>
    </w:pPr>
    <w:rPr>
      <w:rFonts w:ascii="Consolas" w:hAnsi="Consolas" w:eastAsia="Consolas"/>
      <w:color w:val="1F2937"/>
      <w:sz w:val="19"/>
    </w:rPr>
  </w:style>
  <w:style w:type="paragraph" w:customStyle="1" w:styleId="ChatGPTQuote">
    <w:name w:val="ChatGPT Quote"/>
    <w:basedOn w:val="Normal"/>
    <w:pPr>
      <w:spacing w:line="324" w:lineRule="auto" w:before="120" w:after="120"/>
      <w:ind w:left="360" w:right="72"/>
    </w:pPr>
    <w:rPr>
      <w:rFonts w:ascii="Times New Roman" w:hAnsi="Times New Roman" w:eastAsia="Microsoft YaHei"/>
      <w:i/>
      <w:color w:val="6B7280"/>
      <w:sz w:val="21"/>
    </w:rPr>
  </w:style>
  <w:style w:type="paragraph" w:customStyle="1" w:styleId="ChatGPTCaption">
    <w:name w:val="ChatGPT Caption"/>
    <w:basedOn w:val="Normal"/>
    <w:pPr>
      <w:spacing w:line="288" w:lineRule="auto" w:before="0" w:after="200"/>
      <w:jc w:val="center"/>
    </w:pPr>
    <w:rPr>
      <w:rFonts w:ascii="Times New Roman" w:hAnsi="Times New Roman" w:eastAsia="Microsoft YaHei"/>
      <w:i/>
      <w:color w:val="6B7280"/>
      <w:sz w:val="19"/>
    </w:rPr>
  </w:style>
  <w:style w:type="paragraph" w:customStyle="1" w:styleId="ChatGPTTableTitle">
    <w:name w:val="ChatGPT Table Title"/>
    <w:basedOn w:val="Normal"/>
    <w:pPr>
      <w:spacing w:line="288" w:lineRule="auto" w:before="120" w:after="120"/>
      <w:jc w:val="center"/>
    </w:pPr>
    <w:rPr>
      <w:rFonts w:ascii="Times New Roman" w:hAnsi="Times New Roman" w:eastAsia="Microsoft YaHei"/>
      <w:color w:val="1F2937"/>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image" Target="media/image10.png"/><Relationship Id="rId19"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